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88A403" w14:textId="347087B9" w:rsidR="00C95587" w:rsidRDefault="00A749F9" w:rsidP="00397641">
      <w:pPr>
        <w:pStyle w:val="Title"/>
      </w:pPr>
      <w:r>
        <w:t xml:space="preserve">Spinoza’s </w:t>
      </w:r>
      <w:r w:rsidR="00397641">
        <w:t>Theophan</w:t>
      </w:r>
      <w:r w:rsidR="00912C8A">
        <w:t>y</w:t>
      </w:r>
      <w:r w:rsidR="00397641">
        <w:t xml:space="preserve">: The Expression of </w:t>
      </w:r>
      <w:r>
        <w:t>God’s</w:t>
      </w:r>
      <w:r w:rsidR="00397641">
        <w:t xml:space="preserve"> Nature by Particular Things</w:t>
      </w:r>
    </w:p>
    <w:p w14:paraId="02F9EFDF" w14:textId="2BA00DCF" w:rsidR="00397641" w:rsidRDefault="00397641" w:rsidP="00397641"/>
    <w:p w14:paraId="363E89F4" w14:textId="547C83C5" w:rsidR="003801F5" w:rsidRDefault="003801F5" w:rsidP="003801F5">
      <w:pPr>
        <w:pStyle w:val="Heading1"/>
      </w:pPr>
      <w:r w:rsidRPr="003801F5">
        <w:t>0.</w:t>
      </w:r>
      <w:r>
        <w:t xml:space="preserve"> Abstract</w:t>
      </w:r>
    </w:p>
    <w:p w14:paraId="2C63D55A" w14:textId="0D4C4427" w:rsidR="003801F5" w:rsidRDefault="003801F5" w:rsidP="003801F5">
      <w:r>
        <w:t>What does Spinoza mean when he claims, as he does several times</w:t>
      </w:r>
      <w:r w:rsidR="00711E30">
        <w:t xml:space="preserve"> in the </w:t>
      </w:r>
      <w:r w:rsidR="00711E30">
        <w:rPr>
          <w:i/>
        </w:rPr>
        <w:t>Ethics</w:t>
      </w:r>
      <w:r>
        <w:t xml:space="preserve">, that </w:t>
      </w:r>
      <w:proofErr w:type="gramStart"/>
      <w:r>
        <w:t>particular things</w:t>
      </w:r>
      <w:proofErr w:type="gramEnd"/>
      <w:r>
        <w:t xml:space="preserve"> are </w:t>
      </w:r>
      <w:r>
        <w:rPr>
          <w:i/>
          <w:iCs/>
        </w:rPr>
        <w:t>expressions</w:t>
      </w:r>
      <w:r>
        <w:t xml:space="preserve"> of God</w:t>
      </w:r>
      <w:r w:rsidR="00A749F9">
        <w:t>’</w:t>
      </w:r>
      <w:r>
        <w:t xml:space="preserve">s nature or attributes? This article interprets these claims as a version of what is called </w:t>
      </w:r>
      <w:r>
        <w:rPr>
          <w:i/>
          <w:iCs/>
        </w:rPr>
        <w:t xml:space="preserve">theophany </w:t>
      </w:r>
      <w:r>
        <w:t xml:space="preserve">in the Neoplatonist tradition. Theophany is the process by which </w:t>
      </w:r>
      <w:proofErr w:type="gramStart"/>
      <w:r>
        <w:t>particular things</w:t>
      </w:r>
      <w:proofErr w:type="gramEnd"/>
      <w:r>
        <w:t xml:space="preserve"> come to exist as determinate manifestations of a divine nature that is in itself not determinate. </w:t>
      </w:r>
      <w:r w:rsidR="00A749F9">
        <w:t xml:space="preserve">Spinoza’s </w:t>
      </w:r>
      <w:r>
        <w:t xml:space="preserve">understanding of theophany diverges significantly from that of the Neoplatonist John </w:t>
      </w:r>
      <w:proofErr w:type="spellStart"/>
      <w:r>
        <w:t>Scottus</w:t>
      </w:r>
      <w:proofErr w:type="spellEnd"/>
      <w:r>
        <w:t xml:space="preserve"> </w:t>
      </w:r>
      <w:proofErr w:type="spellStart"/>
      <w:r>
        <w:t>Eriugena</w:t>
      </w:r>
      <w:proofErr w:type="spellEnd"/>
      <w:r>
        <w:t xml:space="preserve">, largely because he understands the non-determinateness of the divine nature in a very different way. His view is more similar, I argue, to what is presented in the work of Ibn </w:t>
      </w:r>
      <w:r w:rsidR="00A749F9">
        <w:t>‘</w:t>
      </w:r>
      <w:proofErr w:type="spellStart"/>
      <w:r w:rsidR="00A749F9">
        <w:t>Arabī</w:t>
      </w:r>
      <w:proofErr w:type="spellEnd"/>
      <w:r>
        <w:t>, under the name “</w:t>
      </w:r>
      <w:proofErr w:type="spellStart"/>
      <w:r>
        <w:rPr>
          <w:i/>
          <w:iCs/>
        </w:rPr>
        <w:t>tajallī</w:t>
      </w:r>
      <w:proofErr w:type="spellEnd"/>
      <w:r>
        <w:t>”.</w:t>
      </w:r>
    </w:p>
    <w:p w14:paraId="0408AC1D" w14:textId="5BBF78CD" w:rsidR="00711E30" w:rsidRDefault="00711E30" w:rsidP="003801F5"/>
    <w:p w14:paraId="5B8A2703" w14:textId="5150B740" w:rsidR="00711E30" w:rsidRPr="00711E30" w:rsidRDefault="00711E30" w:rsidP="003801F5">
      <w:r>
        <w:rPr>
          <w:u w:val="single"/>
        </w:rPr>
        <w:t>Key Words</w:t>
      </w:r>
      <w:r>
        <w:t xml:space="preserve">: Spinoza, </w:t>
      </w:r>
      <w:proofErr w:type="spellStart"/>
      <w:r>
        <w:t>Eriugena</w:t>
      </w:r>
      <w:proofErr w:type="spellEnd"/>
      <w:r>
        <w:t xml:space="preserve">, Ibn </w:t>
      </w:r>
      <w:r w:rsidR="00A749F9">
        <w:t>‘</w:t>
      </w:r>
      <w:proofErr w:type="spellStart"/>
      <w:r>
        <w:t>Arabī</w:t>
      </w:r>
      <w:proofErr w:type="spellEnd"/>
      <w:r>
        <w:t xml:space="preserve">, expression, modes, divine nature, indeterminacy, </w:t>
      </w:r>
      <w:proofErr w:type="spellStart"/>
      <w:r>
        <w:t>superdeterminacy</w:t>
      </w:r>
      <w:proofErr w:type="spellEnd"/>
      <w:r>
        <w:t xml:space="preserve">, theophany, </w:t>
      </w:r>
      <w:proofErr w:type="spellStart"/>
      <w:r>
        <w:rPr>
          <w:i/>
          <w:iCs/>
        </w:rPr>
        <w:t>tajallī</w:t>
      </w:r>
      <w:proofErr w:type="spellEnd"/>
    </w:p>
    <w:p w14:paraId="51D24225" w14:textId="77777777" w:rsidR="00F063EE" w:rsidRDefault="00F063EE" w:rsidP="00397641">
      <w:pPr>
        <w:pStyle w:val="Heading1"/>
      </w:pPr>
    </w:p>
    <w:p w14:paraId="58A63C17" w14:textId="5D10351B" w:rsidR="00397641" w:rsidRDefault="00397641" w:rsidP="00397641">
      <w:pPr>
        <w:pStyle w:val="Heading1"/>
      </w:pPr>
      <w:r>
        <w:t>1.Introduction</w:t>
      </w:r>
    </w:p>
    <w:p w14:paraId="2EC1026E" w14:textId="2D27CA6A" w:rsidR="00ED5789" w:rsidRDefault="0000422E">
      <w:r>
        <w:t xml:space="preserve">Spinoza repeatedly states </w:t>
      </w:r>
      <w:r w:rsidR="001576AB">
        <w:t xml:space="preserve">in his </w:t>
      </w:r>
      <w:r w:rsidR="001576AB">
        <w:rPr>
          <w:i/>
          <w:iCs/>
        </w:rPr>
        <w:t xml:space="preserve">Ethics </w:t>
      </w:r>
      <w:r>
        <w:t xml:space="preserve">that </w:t>
      </w:r>
      <w:r w:rsidR="0027714A">
        <w:t xml:space="preserve">all </w:t>
      </w:r>
      <w:proofErr w:type="gramStart"/>
      <w:r w:rsidR="00C172A2">
        <w:t>particular</w:t>
      </w:r>
      <w:r>
        <w:t xml:space="preserve"> things</w:t>
      </w:r>
      <w:proofErr w:type="gramEnd"/>
      <w:r w:rsidR="00906CEA">
        <w:t xml:space="preserve"> </w:t>
      </w:r>
      <w:r>
        <w:t>–</w:t>
      </w:r>
      <w:r w:rsidR="008D21BE">
        <w:t xml:space="preserve"> ordinary objects in the world – are</w:t>
      </w:r>
      <w:r>
        <w:t xml:space="preserve"> modes</w:t>
      </w:r>
      <w:r w:rsidR="008A539E">
        <w:t xml:space="preserve"> of God</w:t>
      </w:r>
      <w:r>
        <w:t>,</w:t>
      </w:r>
      <w:r w:rsidR="008D21BE">
        <w:t xml:space="preserve"> which </w:t>
      </w:r>
      <w:r w:rsidRPr="002632E0">
        <w:rPr>
          <w:i/>
          <w:iCs/>
        </w:rPr>
        <w:t>express</w:t>
      </w:r>
      <w:r>
        <w:t xml:space="preserve"> </w:t>
      </w:r>
      <w:r w:rsidR="008D21BE">
        <w:t>his</w:t>
      </w:r>
      <w:r w:rsidR="0045543A">
        <w:t xml:space="preserve"> nature</w:t>
      </w:r>
      <w:r>
        <w:t xml:space="preserve"> or attributes </w:t>
      </w:r>
      <w:r w:rsidR="00A749F9">
        <w:t>“</w:t>
      </w:r>
      <w:r w:rsidR="0045543A">
        <w:t>in a certain and determinate way</w:t>
      </w:r>
      <w:r w:rsidR="00A749F9">
        <w:t>”</w:t>
      </w:r>
      <w:r w:rsidR="001576AB">
        <w:t>. For example (my underlining):</w:t>
      </w:r>
    </w:p>
    <w:p w14:paraId="3ADBA1AD" w14:textId="76C5ADFC" w:rsidR="001576AB" w:rsidRPr="00B441F4" w:rsidRDefault="001576AB" w:rsidP="0045543A">
      <w:pPr>
        <w:pStyle w:val="Quote"/>
      </w:pPr>
      <w:proofErr w:type="gramStart"/>
      <w:r w:rsidRPr="00B441F4">
        <w:t>Particular things</w:t>
      </w:r>
      <w:proofErr w:type="gramEnd"/>
      <w:r w:rsidRPr="00B441F4">
        <w:t xml:space="preserve"> are nothing other than affections or modes of </w:t>
      </w:r>
      <w:r w:rsidR="00A749F9">
        <w:t>God’s</w:t>
      </w:r>
      <w:r w:rsidRPr="00B441F4">
        <w:t xml:space="preserve"> attributes, by which the attributes of God are </w:t>
      </w:r>
      <w:r w:rsidRPr="005F3607">
        <w:rPr>
          <w:u w:val="single"/>
        </w:rPr>
        <w:t>expressed</w:t>
      </w:r>
      <w:r w:rsidRPr="00B441F4">
        <w:t xml:space="preserve"> [</w:t>
      </w:r>
      <w:proofErr w:type="spellStart"/>
      <w:r w:rsidRPr="00B441F4">
        <w:rPr>
          <w:i/>
        </w:rPr>
        <w:t>exprimuntur</w:t>
      </w:r>
      <w:proofErr w:type="spellEnd"/>
      <w:r w:rsidRPr="00B441F4">
        <w:t>] in a certain and determinate way (</w:t>
      </w:r>
      <w:r>
        <w:t>E,</w:t>
      </w:r>
      <w:r w:rsidRPr="00B441F4">
        <w:t xml:space="preserve"> 1p25c).</w:t>
      </w:r>
    </w:p>
    <w:p w14:paraId="16D63321" w14:textId="4BF89239" w:rsidR="001576AB" w:rsidRPr="00B441F4" w:rsidRDefault="001576AB" w:rsidP="0045543A">
      <w:pPr>
        <w:pStyle w:val="Quote"/>
      </w:pPr>
      <w:r w:rsidRPr="00B441F4">
        <w:t xml:space="preserve">By body I understand a mode, which </w:t>
      </w:r>
      <w:r w:rsidRPr="005F3607">
        <w:rPr>
          <w:u w:val="single"/>
        </w:rPr>
        <w:t xml:space="preserve">expresses </w:t>
      </w:r>
      <w:r w:rsidR="00A749F9">
        <w:rPr>
          <w:u w:val="single"/>
        </w:rPr>
        <w:t>God’s</w:t>
      </w:r>
      <w:r w:rsidRPr="005F3607">
        <w:rPr>
          <w:u w:val="single"/>
        </w:rPr>
        <w:t xml:space="preserve"> essence</w:t>
      </w:r>
      <w:r w:rsidRPr="00B441F4">
        <w:t>, insofar as it is considered as an extended thing, in a certain and determinate way (2d1).</w:t>
      </w:r>
    </w:p>
    <w:p w14:paraId="32744531" w14:textId="34FBF652" w:rsidR="001576AB" w:rsidRPr="00B441F4" w:rsidRDefault="001576AB" w:rsidP="0045543A">
      <w:pPr>
        <w:pStyle w:val="Quote"/>
      </w:pPr>
      <w:r w:rsidRPr="00B441F4">
        <w:t xml:space="preserve">Singular thoughts – this and that thought – are modes that </w:t>
      </w:r>
      <w:r w:rsidRPr="005F3607">
        <w:rPr>
          <w:u w:val="single"/>
        </w:rPr>
        <w:t xml:space="preserve">express </w:t>
      </w:r>
      <w:r w:rsidR="00A749F9">
        <w:rPr>
          <w:u w:val="single"/>
        </w:rPr>
        <w:t>God’s</w:t>
      </w:r>
      <w:r w:rsidRPr="005F3607">
        <w:rPr>
          <w:u w:val="single"/>
        </w:rPr>
        <w:t xml:space="preserve"> nature</w:t>
      </w:r>
      <w:r w:rsidRPr="00B441F4">
        <w:t xml:space="preserve"> in a certain and determinate way (2p1d).</w:t>
      </w:r>
    </w:p>
    <w:p w14:paraId="318F383A" w14:textId="539AD54F" w:rsidR="001576AB" w:rsidRPr="00B441F4" w:rsidRDefault="001576AB" w:rsidP="0045543A">
      <w:pPr>
        <w:pStyle w:val="Quote"/>
      </w:pPr>
      <w:r w:rsidRPr="00B441F4">
        <w:lastRenderedPageBreak/>
        <w:t xml:space="preserve">the essence of a human being […] is an affection, or mode, which </w:t>
      </w:r>
      <w:r w:rsidRPr="005F3607">
        <w:rPr>
          <w:u w:val="single"/>
        </w:rPr>
        <w:t xml:space="preserve">expresses </w:t>
      </w:r>
      <w:r w:rsidR="00A749F9">
        <w:rPr>
          <w:u w:val="single"/>
        </w:rPr>
        <w:t>God’s</w:t>
      </w:r>
      <w:r w:rsidRPr="005F3607">
        <w:rPr>
          <w:u w:val="single"/>
        </w:rPr>
        <w:t xml:space="preserve"> nature</w:t>
      </w:r>
      <w:r w:rsidRPr="00B441F4">
        <w:t xml:space="preserve"> in a certain and determinate way (2p10c).</w:t>
      </w:r>
    </w:p>
    <w:p w14:paraId="5E6CD13A" w14:textId="46E0F99A" w:rsidR="001576AB" w:rsidRDefault="001576AB" w:rsidP="0045543A">
      <w:pPr>
        <w:pStyle w:val="Quote"/>
      </w:pPr>
      <w:r w:rsidRPr="00B441F4">
        <w:t xml:space="preserve">For singular things are modes, by which </w:t>
      </w:r>
      <w:r w:rsidR="00A749F9">
        <w:rPr>
          <w:u w:val="single"/>
        </w:rPr>
        <w:t>God’s</w:t>
      </w:r>
      <w:r w:rsidRPr="00495B5E">
        <w:rPr>
          <w:u w:val="single"/>
        </w:rPr>
        <w:t xml:space="preserve"> attributes are expressed</w:t>
      </w:r>
      <w:r w:rsidRPr="00B441F4">
        <w:t xml:space="preserve"> in a certain and determinate way (by 1p25c), that is (by 1p34), things by which </w:t>
      </w:r>
      <w:r w:rsidR="00A749F9">
        <w:t>God’s</w:t>
      </w:r>
      <w:r w:rsidRPr="00B441F4">
        <w:t xml:space="preserve"> power, by which God is and acts, is expressed in a certain and determinate way (3p6d).</w:t>
      </w:r>
    </w:p>
    <w:p w14:paraId="3BB8F698" w14:textId="376EF773" w:rsidR="003004A4" w:rsidRDefault="001576AB" w:rsidP="003004A4">
      <w:r>
        <w:t xml:space="preserve">Scholars have grappled with this notion of </w:t>
      </w:r>
      <w:r w:rsidRPr="00397641">
        <w:rPr>
          <w:i/>
          <w:iCs/>
        </w:rPr>
        <w:t>expression</w:t>
      </w:r>
      <w:r>
        <w:t xml:space="preserve"> – a </w:t>
      </w:r>
      <w:r w:rsidR="00397641">
        <w:t>concept</w:t>
      </w:r>
      <w:r>
        <w:t xml:space="preserve"> for which Spinoza provides no definition. </w:t>
      </w:r>
      <w:r w:rsidR="00846393">
        <w:t>Some</w:t>
      </w:r>
      <w:r>
        <w:t xml:space="preserve"> have linked </w:t>
      </w:r>
      <w:r w:rsidR="00D27E4F">
        <w:t>it</w:t>
      </w:r>
      <w:r>
        <w:t xml:space="preserve"> with</w:t>
      </w:r>
      <w:r w:rsidR="00AD2CEB">
        <w:t xml:space="preserve"> Neoplatonic ideas. </w:t>
      </w:r>
      <w:r w:rsidR="006F690A">
        <w:t xml:space="preserve">For example, </w:t>
      </w:r>
      <w:r w:rsidR="00AD2CEB">
        <w:t>Gilles Deleuze</w:t>
      </w:r>
      <w:r w:rsidR="006F690A">
        <w:t xml:space="preserve"> observes that </w:t>
      </w:r>
      <w:r w:rsidR="00E95098">
        <w:t>Spinoza</w:t>
      </w:r>
      <w:r w:rsidR="00A749F9">
        <w:t>’</w:t>
      </w:r>
      <w:r w:rsidR="00E95098">
        <w:t>s</w:t>
      </w:r>
      <w:r w:rsidR="006F690A">
        <w:t xml:space="preserve"> theory of expression was</w:t>
      </w:r>
      <w:r w:rsidR="00AD2CEB">
        <w:t xml:space="preserve"> </w:t>
      </w:r>
      <w:r w:rsidR="00A749F9">
        <w:t>“</w:t>
      </w:r>
      <w:r w:rsidR="006F690A">
        <w:t>developed, in the Renaissance as in the Middle Ages, by authors steeped in Neoplatonism</w:t>
      </w:r>
      <w:r w:rsidR="00A749F9">
        <w:t>”</w:t>
      </w:r>
      <w:r w:rsidR="006F690A">
        <w:t>.</w:t>
      </w:r>
      <w:r w:rsidR="006F690A">
        <w:rPr>
          <w:rStyle w:val="FootnoteReference"/>
        </w:rPr>
        <w:footnoteReference w:id="1"/>
      </w:r>
      <w:r w:rsidR="00D27E4F">
        <w:t xml:space="preserve"> </w:t>
      </w:r>
      <w:r w:rsidR="00AD2CEB">
        <w:t xml:space="preserve">In this article, I </w:t>
      </w:r>
      <w:r w:rsidR="00C633A0">
        <w:t xml:space="preserve">compare </w:t>
      </w:r>
      <w:r w:rsidR="00A749F9">
        <w:t xml:space="preserve">Spinoza’s </w:t>
      </w:r>
      <w:r w:rsidR="00C633A0">
        <w:t xml:space="preserve">theory of the expression of </w:t>
      </w:r>
      <w:r w:rsidR="00A749F9">
        <w:t>God’s</w:t>
      </w:r>
      <w:r w:rsidR="00C633A0">
        <w:t xml:space="preserve"> nature by his </w:t>
      </w:r>
      <w:r w:rsidR="00A749F9">
        <w:t>“</w:t>
      </w:r>
      <w:r w:rsidR="002632E0">
        <w:t>certain and determinate</w:t>
      </w:r>
      <w:r w:rsidR="00A749F9">
        <w:t>”</w:t>
      </w:r>
      <w:r w:rsidR="002632E0">
        <w:t xml:space="preserve"> </w:t>
      </w:r>
      <w:r w:rsidR="00C633A0">
        <w:t>modes</w:t>
      </w:r>
      <w:r w:rsidR="00AD2CEB">
        <w:t xml:space="preserve"> </w:t>
      </w:r>
      <w:r w:rsidR="00C633A0">
        <w:t xml:space="preserve">with the theophanic theory of </w:t>
      </w:r>
      <w:r w:rsidR="00AD2CEB">
        <w:t xml:space="preserve">John </w:t>
      </w:r>
      <w:proofErr w:type="spellStart"/>
      <w:r w:rsidR="00AD2CEB">
        <w:t>Sco</w:t>
      </w:r>
      <w:r w:rsidR="0023442B">
        <w:t>t</w:t>
      </w:r>
      <w:r w:rsidR="00AD2CEB">
        <w:t>tus</w:t>
      </w:r>
      <w:proofErr w:type="spellEnd"/>
      <w:r w:rsidR="00AD2CEB">
        <w:t xml:space="preserve"> </w:t>
      </w:r>
      <w:proofErr w:type="spellStart"/>
      <w:r w:rsidR="00AD2CEB">
        <w:t>Eriugena</w:t>
      </w:r>
      <w:proofErr w:type="spellEnd"/>
      <w:r w:rsidR="00C633A0">
        <w:t xml:space="preserve"> </w:t>
      </w:r>
      <w:r w:rsidR="00C633A0" w:rsidRPr="00C633A0">
        <w:t>(c.800–c.877)</w:t>
      </w:r>
      <w:r w:rsidR="0023442B">
        <w:t xml:space="preserve"> and then of </w:t>
      </w:r>
      <w:r w:rsidR="008A539E">
        <w:t>I</w:t>
      </w:r>
      <w:r w:rsidR="0023442B">
        <w:t xml:space="preserve">bn </w:t>
      </w:r>
      <w:r w:rsidR="00A749F9">
        <w:t>‘</w:t>
      </w:r>
      <w:proofErr w:type="spellStart"/>
      <w:r w:rsidR="00A749F9">
        <w:t>Arabī</w:t>
      </w:r>
      <w:proofErr w:type="spellEnd"/>
      <w:r w:rsidR="00A749F9">
        <w:t xml:space="preserve"> </w:t>
      </w:r>
      <w:r w:rsidR="0023442B" w:rsidRPr="0023442B">
        <w:t>(1165–1240)</w:t>
      </w:r>
      <w:r w:rsidR="00C633A0">
        <w:t>.</w:t>
      </w:r>
      <w:r w:rsidR="003004A4">
        <w:t xml:space="preserve"> </w:t>
      </w:r>
      <w:r w:rsidR="0023442B">
        <w:t>My</w:t>
      </w:r>
      <w:r w:rsidR="00C633A0">
        <w:t xml:space="preserve"> purpose is not </w:t>
      </w:r>
      <w:r w:rsidR="0023442B">
        <w:t xml:space="preserve">mere comparison, however. </w:t>
      </w:r>
      <w:r w:rsidR="00846393">
        <w:t>Rather, t</w:t>
      </w:r>
      <w:r w:rsidR="00EE35AF">
        <w:t xml:space="preserve">hrough </w:t>
      </w:r>
      <w:r w:rsidR="00846393">
        <w:t>the</w:t>
      </w:r>
      <w:r w:rsidR="00EE35AF">
        <w:t xml:space="preserve"> comparison, I hope </w:t>
      </w:r>
      <w:r w:rsidR="00D16FD0">
        <w:t>to explain the</w:t>
      </w:r>
      <w:r w:rsidR="00B70E9F">
        <w:t xml:space="preserve"> place and</w:t>
      </w:r>
      <w:r w:rsidR="00D16FD0">
        <w:t xml:space="preserve"> purpose</w:t>
      </w:r>
      <w:r w:rsidR="00EE35AF">
        <w:t xml:space="preserve"> </w:t>
      </w:r>
      <w:r w:rsidR="00B70E9F">
        <w:t>of this theory of</w:t>
      </w:r>
      <w:r w:rsidR="00EE35AF">
        <w:t xml:space="preserve"> </w:t>
      </w:r>
      <w:r w:rsidR="00523171">
        <w:t>divine</w:t>
      </w:r>
      <w:r w:rsidR="00D16FD0">
        <w:t xml:space="preserve"> </w:t>
      </w:r>
      <w:r w:rsidR="007737A0">
        <w:t xml:space="preserve">expression </w:t>
      </w:r>
      <w:r w:rsidR="00B70E9F">
        <w:t>i</w:t>
      </w:r>
      <w:r w:rsidR="00D16FD0">
        <w:t xml:space="preserve">n </w:t>
      </w:r>
      <w:r w:rsidR="00A749F9">
        <w:t xml:space="preserve">Spinoza’s </w:t>
      </w:r>
      <w:r w:rsidR="00D16FD0">
        <w:t>syste</w:t>
      </w:r>
      <w:r w:rsidR="00645F9D">
        <w:t>m</w:t>
      </w:r>
      <w:r w:rsidR="00846393">
        <w:t>.</w:t>
      </w:r>
    </w:p>
    <w:p w14:paraId="11BE5517" w14:textId="340A7B88" w:rsidR="00846393" w:rsidRDefault="00E1248E" w:rsidP="003004A4">
      <w:pPr>
        <w:ind w:firstLine="720"/>
      </w:pPr>
      <w:r>
        <w:t xml:space="preserve">My conclusion will be that </w:t>
      </w:r>
      <w:r w:rsidR="00A749F9">
        <w:t xml:space="preserve">Spinoza’s </w:t>
      </w:r>
      <w:r>
        <w:t xml:space="preserve">theory of divine expression can be seen as a </w:t>
      </w:r>
      <w:r w:rsidRPr="00F25B2F">
        <w:rPr>
          <w:i/>
          <w:iCs/>
        </w:rPr>
        <w:t>theophan</w:t>
      </w:r>
      <w:r w:rsidR="00F25B2F">
        <w:rPr>
          <w:i/>
          <w:iCs/>
        </w:rPr>
        <w:t xml:space="preserve">ic </w:t>
      </w:r>
      <w:r w:rsidR="00F25B2F">
        <w:t xml:space="preserve">theory (or </w:t>
      </w:r>
      <w:r w:rsidR="00A749F9">
        <w:t>“</w:t>
      </w:r>
      <w:r w:rsidR="00F25B2F">
        <w:t>a theophany</w:t>
      </w:r>
      <w:r w:rsidR="00A749F9">
        <w:t>”</w:t>
      </w:r>
      <w:r w:rsidR="00F25B2F">
        <w:t xml:space="preserve"> in short)</w:t>
      </w:r>
      <w:r w:rsidR="005E630B">
        <w:t>,</w:t>
      </w:r>
      <w:r w:rsidR="00912C8A">
        <w:t xml:space="preserve"> by which I mean a characterisation of </w:t>
      </w:r>
      <w:proofErr w:type="gramStart"/>
      <w:r w:rsidR="00912C8A">
        <w:t>particular</w:t>
      </w:r>
      <w:r w:rsidR="00271E1B">
        <w:t xml:space="preserve"> </w:t>
      </w:r>
      <w:r w:rsidR="00912C8A">
        <w:t>things</w:t>
      </w:r>
      <w:proofErr w:type="gramEnd"/>
      <w:r w:rsidR="00912C8A">
        <w:t xml:space="preserve"> as </w:t>
      </w:r>
      <w:r w:rsidR="00271E1B">
        <w:t xml:space="preserve">determinate </w:t>
      </w:r>
      <w:r w:rsidR="00912C8A">
        <w:t xml:space="preserve">manifestations of the divine nature – </w:t>
      </w:r>
      <w:r w:rsidR="00912C8A">
        <w:rPr>
          <w:i/>
          <w:iCs/>
        </w:rPr>
        <w:t>theophanies</w:t>
      </w:r>
      <w:r w:rsidR="00912C8A">
        <w:t xml:space="preserve">, as the term is used by </w:t>
      </w:r>
      <w:proofErr w:type="spellStart"/>
      <w:r w:rsidR="00912C8A">
        <w:t>Eriugena</w:t>
      </w:r>
      <w:proofErr w:type="spellEnd"/>
      <w:r w:rsidR="00912C8A">
        <w:t>.</w:t>
      </w:r>
      <w:r w:rsidR="005E630B">
        <w:t xml:space="preserve"> </w:t>
      </w:r>
      <w:r w:rsidR="00A749F9">
        <w:t xml:space="preserve">Spinoza’s </w:t>
      </w:r>
      <w:r w:rsidR="00912C8A">
        <w:t xml:space="preserve">theophany differs from that of </w:t>
      </w:r>
      <w:proofErr w:type="spellStart"/>
      <w:r w:rsidR="00596F40">
        <w:t>Eriugena</w:t>
      </w:r>
      <w:proofErr w:type="spellEnd"/>
      <w:r w:rsidR="00596F40">
        <w:t xml:space="preserve"> in important ways</w:t>
      </w:r>
      <w:r w:rsidR="00912C8A">
        <w:t>, however</w:t>
      </w:r>
      <w:r w:rsidR="00774F7D">
        <w:t xml:space="preserve">. These differences derive from </w:t>
      </w:r>
      <w:r w:rsidR="00912C8A">
        <w:t xml:space="preserve">the unique way in which Spinoza understands the </w:t>
      </w:r>
      <w:r w:rsidR="00F81A58">
        <w:t>unlimitedness</w:t>
      </w:r>
      <w:r w:rsidR="00912C8A">
        <w:t xml:space="preserve"> of </w:t>
      </w:r>
      <w:r w:rsidR="00A749F9">
        <w:t>God’s</w:t>
      </w:r>
      <w:r w:rsidR="00912C8A">
        <w:t xml:space="preserve"> nature</w:t>
      </w:r>
      <w:r w:rsidR="00F81A58">
        <w:t xml:space="preserve">. For </w:t>
      </w:r>
      <w:proofErr w:type="spellStart"/>
      <w:r w:rsidR="00F81A58">
        <w:t>Eriugena</w:t>
      </w:r>
      <w:proofErr w:type="spellEnd"/>
      <w:r w:rsidR="00F81A58">
        <w:t xml:space="preserve"> (as for other Neoplatonists), the unlimitedness of the divine nature makes it </w:t>
      </w:r>
      <w:r w:rsidR="00F81A58">
        <w:rPr>
          <w:i/>
          <w:iCs/>
        </w:rPr>
        <w:t>indeterminate</w:t>
      </w:r>
      <w:r w:rsidR="00F81A58">
        <w:t xml:space="preserve">, whereas for Spinoza, </w:t>
      </w:r>
      <w:r w:rsidR="0021415A">
        <w:t xml:space="preserve">divine </w:t>
      </w:r>
      <w:r w:rsidR="00F81A58">
        <w:t xml:space="preserve">unlimitedness entails what I call </w:t>
      </w:r>
      <w:proofErr w:type="spellStart"/>
      <w:r w:rsidR="00F81A58">
        <w:rPr>
          <w:i/>
          <w:iCs/>
        </w:rPr>
        <w:t>superdeterminacy</w:t>
      </w:r>
      <w:proofErr w:type="spellEnd"/>
      <w:r>
        <w:t xml:space="preserve">. </w:t>
      </w:r>
      <w:r w:rsidR="00846393">
        <w:t xml:space="preserve">I end by noting </w:t>
      </w:r>
      <w:r w:rsidR="00A4272F">
        <w:t>that a closer</w:t>
      </w:r>
      <w:r w:rsidR="00846393">
        <w:t xml:space="preserve"> precursor to </w:t>
      </w:r>
      <w:r w:rsidR="00A749F9">
        <w:t xml:space="preserve">Spinoza’s </w:t>
      </w:r>
      <w:r w:rsidR="00846393">
        <w:t xml:space="preserve">theory of </w:t>
      </w:r>
      <w:r w:rsidR="00662AE5">
        <w:t xml:space="preserve">divine </w:t>
      </w:r>
      <w:r w:rsidR="00846393">
        <w:t xml:space="preserve">expression </w:t>
      </w:r>
      <w:r w:rsidR="0021415A">
        <w:t>can</w:t>
      </w:r>
      <w:r w:rsidR="00A4272F">
        <w:t xml:space="preserve"> found in</w:t>
      </w:r>
      <w:r w:rsidR="0021415A">
        <w:t xml:space="preserve"> the theophany, or </w:t>
      </w:r>
      <w:proofErr w:type="spellStart"/>
      <w:r w:rsidR="0021415A">
        <w:rPr>
          <w:i/>
          <w:iCs/>
        </w:rPr>
        <w:t>tajallī</w:t>
      </w:r>
      <w:proofErr w:type="spellEnd"/>
      <w:r w:rsidR="0021415A">
        <w:t>, of</w:t>
      </w:r>
      <w:r w:rsidR="0021415A">
        <w:rPr>
          <w:i/>
          <w:iCs/>
        </w:rPr>
        <w:t xml:space="preserve"> </w:t>
      </w:r>
      <w:r w:rsidR="0021415A">
        <w:t>the Islamic mysti</w:t>
      </w:r>
      <w:r w:rsidR="00F25B2F">
        <w:t>c</w:t>
      </w:r>
      <w:r w:rsidR="0021415A">
        <w:t xml:space="preserve">, </w:t>
      </w:r>
      <w:r w:rsidR="00B00C2C">
        <w:t>I</w:t>
      </w:r>
      <w:r w:rsidR="00846393">
        <w:t xml:space="preserve">bn </w:t>
      </w:r>
      <w:r w:rsidR="00A749F9">
        <w:t>‘</w:t>
      </w:r>
      <w:proofErr w:type="spellStart"/>
      <w:r w:rsidR="00A749F9">
        <w:t>Arabī</w:t>
      </w:r>
      <w:proofErr w:type="spellEnd"/>
      <w:r w:rsidR="00846393">
        <w:t>.</w:t>
      </w:r>
    </w:p>
    <w:p w14:paraId="67BF33C7" w14:textId="11904AED" w:rsidR="003004A4" w:rsidRDefault="003004A4" w:rsidP="003004A4">
      <w:pPr>
        <w:pStyle w:val="Heading1"/>
      </w:pPr>
      <w:r>
        <w:lastRenderedPageBreak/>
        <w:t xml:space="preserve">2. Expression and </w:t>
      </w:r>
      <w:proofErr w:type="spellStart"/>
      <w:r w:rsidR="00866E86">
        <w:t>Eriugena’s</w:t>
      </w:r>
      <w:proofErr w:type="spellEnd"/>
      <w:r w:rsidR="00866E86">
        <w:t xml:space="preserve"> </w:t>
      </w:r>
      <w:r>
        <w:t>Theophany</w:t>
      </w:r>
    </w:p>
    <w:p w14:paraId="73F3E582" w14:textId="3FDCACD0" w:rsidR="00D27E4F" w:rsidRDefault="004708B2" w:rsidP="003004A4">
      <w:r>
        <w:t xml:space="preserve">Deleuze is not the only scholar to find Neoplatonic resonances in </w:t>
      </w:r>
      <w:r w:rsidR="00A749F9">
        <w:t xml:space="preserve">Spinoza’s </w:t>
      </w:r>
      <w:r>
        <w:t xml:space="preserve">notion of expression. </w:t>
      </w:r>
      <w:r w:rsidR="00D27E4F">
        <w:t xml:space="preserve">Martin Lin, for instance, connects </w:t>
      </w:r>
      <w:r w:rsidR="00A749F9">
        <w:t xml:space="preserve">Spinoza’s </w:t>
      </w:r>
      <w:r w:rsidR="004B4925">
        <w:t>concept of expression</w:t>
      </w:r>
      <w:r w:rsidR="00D27E4F">
        <w:t xml:space="preserve"> with the </w:t>
      </w:r>
      <w:r>
        <w:t xml:space="preserve">Neoplatonic </w:t>
      </w:r>
      <w:r w:rsidR="00D27E4F">
        <w:t xml:space="preserve">idea of emanative causation: </w:t>
      </w:r>
    </w:p>
    <w:p w14:paraId="47276C91" w14:textId="203A9623" w:rsidR="00D27E4F" w:rsidRDefault="00D27E4F" w:rsidP="00D27E4F">
      <w:pPr>
        <w:pStyle w:val="Quote"/>
      </w:pPr>
      <w:r w:rsidRPr="00B441F4">
        <w:t xml:space="preserve">According to the Neoplatonists, efficient causality occurs through a process that they called </w:t>
      </w:r>
      <w:r w:rsidR="00A749F9">
        <w:t>“</w:t>
      </w:r>
      <w:r w:rsidRPr="00B441F4">
        <w:t>emanation</w:t>
      </w:r>
      <w:r w:rsidR="00A749F9">
        <w:t>”</w:t>
      </w:r>
      <w:r w:rsidRPr="00B441F4">
        <w:t xml:space="preserve"> in which the effect receives its qualities or properties from its cause</w:t>
      </w:r>
      <w:r>
        <w:t xml:space="preserve"> […] </w:t>
      </w:r>
      <w:r w:rsidRPr="00B441F4">
        <w:t xml:space="preserve">I propose that this conception of efficient causality stands behind </w:t>
      </w:r>
      <w:r w:rsidR="00A749F9">
        <w:t xml:space="preserve">Spinoza’s </w:t>
      </w:r>
      <w:r w:rsidRPr="00B441F4">
        <w:t>conception of expression.</w:t>
      </w:r>
      <w:r w:rsidRPr="005F3607">
        <w:rPr>
          <w:rStyle w:val="FootnoteReference"/>
        </w:rPr>
        <w:footnoteReference w:id="2"/>
      </w:r>
    </w:p>
    <w:p w14:paraId="2E87679C" w14:textId="70F09F69" w:rsidR="00F757E6" w:rsidRDefault="003004A4" w:rsidP="004708B2">
      <w:r>
        <w:t>T</w:t>
      </w:r>
      <w:r w:rsidR="004708B2">
        <w:t xml:space="preserve">here </w:t>
      </w:r>
      <w:r w:rsidR="00A52A4E">
        <w:t xml:space="preserve">is more </w:t>
      </w:r>
      <w:r>
        <w:t>possible</w:t>
      </w:r>
      <w:r w:rsidR="00A52A4E">
        <w:t xml:space="preserve"> Neoplatonic background </w:t>
      </w:r>
      <w:r>
        <w:t xml:space="preserve">to the conception </w:t>
      </w:r>
      <w:r w:rsidR="00A52A4E">
        <w:t>than</w:t>
      </w:r>
      <w:r w:rsidR="004708B2">
        <w:t xml:space="preserve"> this. </w:t>
      </w:r>
      <w:r w:rsidR="00F757E6">
        <w:t xml:space="preserve">Examining contemporary uses of the term </w:t>
      </w:r>
      <w:r w:rsidR="00F757E6">
        <w:rPr>
          <w:i/>
          <w:iCs/>
        </w:rPr>
        <w:t>express</w:t>
      </w:r>
      <w:r w:rsidR="00F757E6">
        <w:t xml:space="preserve"> [</w:t>
      </w:r>
      <w:proofErr w:type="spellStart"/>
      <w:r w:rsidR="00F757E6">
        <w:rPr>
          <w:i/>
          <w:iCs/>
        </w:rPr>
        <w:t>exprimere</w:t>
      </w:r>
      <w:proofErr w:type="spellEnd"/>
      <w:r w:rsidR="00F757E6">
        <w:t xml:space="preserve">] in </w:t>
      </w:r>
      <w:r w:rsidR="00A749F9">
        <w:t xml:space="preserve">Spinoza’s </w:t>
      </w:r>
      <w:r w:rsidR="00F757E6">
        <w:t>context,</w:t>
      </w:r>
      <w:r w:rsidR="00F757E6">
        <w:rPr>
          <w:i/>
          <w:iCs/>
        </w:rPr>
        <w:t xml:space="preserve"> </w:t>
      </w:r>
      <w:r w:rsidR="00F757E6">
        <w:t xml:space="preserve">Antonio Salgado </w:t>
      </w:r>
      <w:proofErr w:type="spellStart"/>
      <w:r w:rsidR="00F757E6">
        <w:t>Borge</w:t>
      </w:r>
      <w:proofErr w:type="spellEnd"/>
      <w:r w:rsidR="00F757E6">
        <w:t xml:space="preserve"> points out that: </w:t>
      </w:r>
      <w:r w:rsidR="00E917F8">
        <w:t>“</w:t>
      </w:r>
      <w:r w:rsidR="00F757E6" w:rsidRPr="00B441F4">
        <w:t xml:space="preserve">one of the principal senses of this term is </w:t>
      </w:r>
      <w:r w:rsidR="00866E86">
        <w:t>‘</w:t>
      </w:r>
      <w:r w:rsidR="00F757E6" w:rsidRPr="00B441F4">
        <w:t>to manifest</w:t>
      </w:r>
      <w:r w:rsidR="00866E86">
        <w:t>’</w:t>
      </w:r>
      <w:r w:rsidR="00F757E6" w:rsidRPr="00B441F4">
        <w:t>”.</w:t>
      </w:r>
      <w:r w:rsidR="00F757E6" w:rsidRPr="005F3607">
        <w:rPr>
          <w:rStyle w:val="FootnoteReference"/>
        </w:rPr>
        <w:footnoteReference w:id="3"/>
      </w:r>
      <w:r w:rsidR="00F757E6">
        <w:t xml:space="preserve"> He</w:t>
      </w:r>
      <w:r w:rsidR="00F757E6" w:rsidRPr="00B441F4">
        <w:t xml:space="preserve"> notes that </w:t>
      </w:r>
      <w:r w:rsidR="00F757E6">
        <w:t xml:space="preserve">Zachary </w:t>
      </w:r>
      <w:proofErr w:type="spellStart"/>
      <w:r w:rsidR="00F757E6" w:rsidRPr="00B441F4">
        <w:t>Gartenberg</w:t>
      </w:r>
      <w:proofErr w:type="spellEnd"/>
      <w:r w:rsidR="00F757E6" w:rsidRPr="00B441F4">
        <w:t xml:space="preserve"> and</w:t>
      </w:r>
      <w:r w:rsidR="00F757E6">
        <w:t xml:space="preserve"> </w:t>
      </w:r>
      <w:r w:rsidR="00F757E6" w:rsidRPr="00B441F4">
        <w:t xml:space="preserve">Deleuze both make the same </w:t>
      </w:r>
      <w:r w:rsidR="00F757E6">
        <w:t>observation.</w:t>
      </w:r>
      <w:r w:rsidR="00F757E6">
        <w:rPr>
          <w:rStyle w:val="FootnoteReference"/>
        </w:rPr>
        <w:footnoteReference w:id="4"/>
      </w:r>
      <w:r w:rsidR="00F757E6">
        <w:t xml:space="preserve"> So</w:t>
      </w:r>
      <w:r w:rsidR="004708B2" w:rsidRPr="004708B2">
        <w:t xml:space="preserve"> </w:t>
      </w:r>
      <w:r w:rsidR="004708B2">
        <w:t>does Lin</w:t>
      </w:r>
      <w:r w:rsidR="00F757E6">
        <w:t>, I add.</w:t>
      </w:r>
      <w:r w:rsidR="00F757E6">
        <w:rPr>
          <w:rStyle w:val="FootnoteReference"/>
        </w:rPr>
        <w:footnoteReference w:id="5"/>
      </w:r>
      <w:r w:rsidR="00F757E6">
        <w:t xml:space="preserve"> </w:t>
      </w:r>
      <w:r w:rsidR="00115085">
        <w:t>We</w:t>
      </w:r>
      <w:r w:rsidR="00F757E6">
        <w:t xml:space="preserve"> might</w:t>
      </w:r>
      <w:r w:rsidR="00115085">
        <w:t>, then,</w:t>
      </w:r>
      <w:r w:rsidR="00F757E6">
        <w:t xml:space="preserve"> connect </w:t>
      </w:r>
      <w:r w:rsidR="00A749F9">
        <w:t xml:space="preserve">Spinoza’s </w:t>
      </w:r>
      <w:r w:rsidR="00F217A9">
        <w:t>concept</w:t>
      </w:r>
      <w:r w:rsidR="00F757E6">
        <w:t xml:space="preserve"> of expression </w:t>
      </w:r>
      <w:r w:rsidR="0025304B">
        <w:t>with</w:t>
      </w:r>
      <w:r w:rsidR="00F757E6">
        <w:t xml:space="preserve"> </w:t>
      </w:r>
      <w:r w:rsidR="002D122D">
        <w:t xml:space="preserve">another Neoplatonic idea: the </w:t>
      </w:r>
      <w:r w:rsidR="00F757E6" w:rsidRPr="002D122D">
        <w:rPr>
          <w:i/>
          <w:iCs/>
        </w:rPr>
        <w:t>theophanic</w:t>
      </w:r>
      <w:r w:rsidR="00F757E6" w:rsidRPr="00B441F4">
        <w:t xml:space="preserve"> </w:t>
      </w:r>
      <w:r>
        <w:t>conception</w:t>
      </w:r>
      <w:r w:rsidR="00F757E6" w:rsidRPr="00B441F4">
        <w:t xml:space="preserve">, according to which ordinary things manifest </w:t>
      </w:r>
      <w:r w:rsidR="00A749F9">
        <w:t>God’s</w:t>
      </w:r>
      <w:r w:rsidR="00F757E6" w:rsidRPr="00B441F4">
        <w:t xml:space="preserve"> </w:t>
      </w:r>
      <w:r w:rsidR="002D122D">
        <w:t xml:space="preserve">otherwise incomprehensible </w:t>
      </w:r>
      <w:r w:rsidR="00F757E6" w:rsidRPr="00B441F4">
        <w:t>nature.</w:t>
      </w:r>
      <w:r w:rsidR="00F757E6">
        <w:t xml:space="preserve"> In </w:t>
      </w:r>
      <w:r w:rsidR="00115085">
        <w:t xml:space="preserve">John </w:t>
      </w:r>
      <w:proofErr w:type="spellStart"/>
      <w:r w:rsidR="00115085">
        <w:t>Scottus</w:t>
      </w:r>
      <w:proofErr w:type="spellEnd"/>
      <w:r w:rsidR="00115085">
        <w:t xml:space="preserve"> </w:t>
      </w:r>
      <w:proofErr w:type="spellStart"/>
      <w:r w:rsidR="00F757E6">
        <w:t>Eriugena</w:t>
      </w:r>
      <w:proofErr w:type="spellEnd"/>
      <w:r w:rsidR="00F757E6">
        <w:t>, for instance, we find this:</w:t>
      </w:r>
    </w:p>
    <w:p w14:paraId="2874B59C" w14:textId="60C1E7E6" w:rsidR="00F757E6" w:rsidRDefault="00F757E6" w:rsidP="00F757E6">
      <w:pPr>
        <w:pStyle w:val="Quote"/>
      </w:pPr>
      <w:r w:rsidRPr="00B441F4">
        <w:t>the Divine Nature</w:t>
      </w:r>
      <w:r>
        <w:t xml:space="preserve"> […]</w:t>
      </w:r>
      <w:r w:rsidRPr="00B441F4">
        <w:t xml:space="preserve"> creates itself, that is, allows itself </w:t>
      </w:r>
      <w:r w:rsidRPr="00F757E6">
        <w:t>to appear in its theophanies</w:t>
      </w:r>
      <w:r w:rsidRPr="00B441F4">
        <w:t>, willing to emerge from the most hidden recesses of its nature in which it is unknown even to itself, that is, it knows itself in nothing because it is infinite and supernatural and superessential and beyond everything that can and cannot be understood; but, descending into the principles of things and, as it were, creating itself, it begins to know itself in something.</w:t>
      </w:r>
      <w:r w:rsidRPr="005F3607">
        <w:rPr>
          <w:rStyle w:val="FootnoteReference"/>
        </w:rPr>
        <w:footnoteReference w:id="6"/>
      </w:r>
    </w:p>
    <w:p w14:paraId="0CB203C2" w14:textId="721D45DA" w:rsidR="00F3709D" w:rsidRDefault="002D122D" w:rsidP="00F757E6">
      <w:r>
        <w:lastRenderedPageBreak/>
        <w:t>The apparently pantheistic language here is striking</w:t>
      </w:r>
      <w:r w:rsidR="00732A96">
        <w:t>. I</w:t>
      </w:r>
      <w:r>
        <w:t xml:space="preserve">n creating things, God </w:t>
      </w:r>
      <w:r w:rsidR="00115085">
        <w:t xml:space="preserve">not only manifests himself, </w:t>
      </w:r>
      <w:proofErr w:type="gramStart"/>
      <w:r w:rsidR="00115085">
        <w:t>he</w:t>
      </w:r>
      <w:proofErr w:type="gramEnd"/>
      <w:r w:rsidR="00115085">
        <w:t xml:space="preserve"> </w:t>
      </w:r>
      <w:r>
        <w:t>creat</w:t>
      </w:r>
      <w:r w:rsidR="009B377E">
        <w:t>es</w:t>
      </w:r>
      <w:r>
        <w:t xml:space="preserve"> </w:t>
      </w:r>
      <w:r w:rsidRPr="00115085">
        <w:t>himself</w:t>
      </w:r>
      <w:r>
        <w:t xml:space="preserve">. </w:t>
      </w:r>
      <w:r w:rsidR="00912C8A">
        <w:t xml:space="preserve">Things as </w:t>
      </w:r>
      <w:r w:rsidR="00A749F9">
        <w:t>God’s</w:t>
      </w:r>
      <w:r>
        <w:t xml:space="preserve"> </w:t>
      </w:r>
      <w:r w:rsidR="00E917F8">
        <w:t>“</w:t>
      </w:r>
      <w:r w:rsidR="00912C8A">
        <w:t>theophanies</w:t>
      </w:r>
      <w:r w:rsidR="00A749F9">
        <w:t>”</w:t>
      </w:r>
      <w:r>
        <w:t xml:space="preserve"> </w:t>
      </w:r>
      <w:r w:rsidR="00115085">
        <w:t>both</w:t>
      </w:r>
      <w:r>
        <w:t xml:space="preserve"> manifest</w:t>
      </w:r>
      <w:r w:rsidR="00115085">
        <w:t xml:space="preserve"> him and</w:t>
      </w:r>
      <w:r w:rsidRPr="00115085">
        <w:rPr>
          <w:i/>
          <w:iCs/>
        </w:rPr>
        <w:t xml:space="preserve"> </w:t>
      </w:r>
      <w:r w:rsidR="00115085" w:rsidRPr="00115085">
        <w:rPr>
          <w:i/>
          <w:iCs/>
        </w:rPr>
        <w:t>are</w:t>
      </w:r>
      <w:r>
        <w:t xml:space="preserve"> him</w:t>
      </w:r>
      <w:r w:rsidR="006C0B23">
        <w:t>, in some sense</w:t>
      </w:r>
      <w:r>
        <w:t xml:space="preserve">. </w:t>
      </w:r>
      <w:r w:rsidR="000C0874">
        <w:t xml:space="preserve">As their creator, </w:t>
      </w:r>
      <w:r>
        <w:t xml:space="preserve">God </w:t>
      </w:r>
      <w:r w:rsidR="00AE5FB5">
        <w:t>can</w:t>
      </w:r>
      <w:r>
        <w:t xml:space="preserve"> also be said to </w:t>
      </w:r>
      <w:r w:rsidRPr="002D122D">
        <w:rPr>
          <w:i/>
          <w:iCs/>
        </w:rPr>
        <w:t>emanate</w:t>
      </w:r>
      <w:r>
        <w:t xml:space="preserve"> his </w:t>
      </w:r>
      <w:r w:rsidR="00912C8A">
        <w:t>theophanies</w:t>
      </w:r>
      <w:r w:rsidR="000C0874">
        <w:t>, which is</w:t>
      </w:r>
      <w:r w:rsidR="006C0B23">
        <w:t xml:space="preserve"> </w:t>
      </w:r>
      <w:r w:rsidR="000C0874">
        <w:t>the</w:t>
      </w:r>
      <w:r w:rsidR="006C0B23">
        <w:t xml:space="preserve"> Neoplatonic form of efficient causation, as </w:t>
      </w:r>
      <w:r>
        <w:t>Lin</w:t>
      </w:r>
      <w:r w:rsidR="008A7403">
        <w:t xml:space="preserve"> proposes</w:t>
      </w:r>
      <w:r w:rsidR="00974345">
        <w:t xml:space="preserve">. Between God and </w:t>
      </w:r>
      <w:r w:rsidR="00912C8A">
        <w:t>his theophanies</w:t>
      </w:r>
      <w:r w:rsidR="008A7403">
        <w:t>, then,</w:t>
      </w:r>
      <w:r w:rsidR="00974345">
        <w:t xml:space="preserve"> there stands a relation of </w:t>
      </w:r>
      <w:r w:rsidR="008A7403">
        <w:t>(</w:t>
      </w:r>
      <w:proofErr w:type="spellStart"/>
      <w:r w:rsidR="008A7403">
        <w:t>i</w:t>
      </w:r>
      <w:proofErr w:type="spellEnd"/>
      <w:r w:rsidR="008A7403">
        <w:t xml:space="preserve">) </w:t>
      </w:r>
      <w:r w:rsidR="00974345" w:rsidRPr="00974345">
        <w:rPr>
          <w:i/>
          <w:iCs/>
        </w:rPr>
        <w:t>identity</w:t>
      </w:r>
      <w:r w:rsidR="00974345">
        <w:t xml:space="preserve"> (of some sort), </w:t>
      </w:r>
      <w:r w:rsidR="008A7403">
        <w:t xml:space="preserve">(ii) </w:t>
      </w:r>
      <w:r w:rsidR="00974345">
        <w:rPr>
          <w:i/>
          <w:iCs/>
        </w:rPr>
        <w:t>manifestation</w:t>
      </w:r>
      <w:r w:rsidR="00974345">
        <w:t xml:space="preserve">, and </w:t>
      </w:r>
      <w:r w:rsidR="008A7403">
        <w:t xml:space="preserve">(iii) </w:t>
      </w:r>
      <w:r w:rsidR="00974345">
        <w:rPr>
          <w:i/>
          <w:iCs/>
        </w:rPr>
        <w:t>efficient causation</w:t>
      </w:r>
      <w:r w:rsidR="00974345">
        <w:t>.</w:t>
      </w:r>
      <w:r w:rsidR="000C0874">
        <w:t xml:space="preserve"> Do all these relations play a role in the concept of expression?</w:t>
      </w:r>
    </w:p>
    <w:p w14:paraId="16259541" w14:textId="61F8F8BA" w:rsidR="001576AB" w:rsidRDefault="00206015" w:rsidP="00F3709D">
      <w:pPr>
        <w:ind w:firstLine="720"/>
      </w:pPr>
      <w:r>
        <w:t xml:space="preserve">Lin identifies </w:t>
      </w:r>
      <w:r w:rsidR="008A7403">
        <w:t>(iii)</w:t>
      </w:r>
      <w:r>
        <w:t xml:space="preserve"> with expression</w:t>
      </w:r>
      <w:r w:rsidR="008F2B76">
        <w:t>. B</w:t>
      </w:r>
      <w:r>
        <w:t>ut the linguistic connotations</w:t>
      </w:r>
      <w:r w:rsidR="008A7403">
        <w:t xml:space="preserve"> of </w:t>
      </w:r>
      <w:r w:rsidR="00E917F8">
        <w:t>“</w:t>
      </w:r>
      <w:proofErr w:type="spellStart"/>
      <w:r w:rsidR="008A7403">
        <w:rPr>
          <w:i/>
          <w:iCs/>
        </w:rPr>
        <w:t>exprimere</w:t>
      </w:r>
      <w:proofErr w:type="spellEnd"/>
      <w:r w:rsidR="00A749F9">
        <w:t>”</w:t>
      </w:r>
      <w:r>
        <w:t xml:space="preserve"> suggest </w:t>
      </w:r>
      <w:r w:rsidR="008A7403">
        <w:t xml:space="preserve">(ii) </w:t>
      </w:r>
      <w:r>
        <w:t>as well</w:t>
      </w:r>
      <w:r w:rsidR="008F2B76">
        <w:t xml:space="preserve">: </w:t>
      </w:r>
      <w:proofErr w:type="gramStart"/>
      <w:r w:rsidR="008F2B76">
        <w:t>particular things</w:t>
      </w:r>
      <w:proofErr w:type="gramEnd"/>
      <w:r w:rsidR="008F2B76">
        <w:t xml:space="preserve"> can be said to </w:t>
      </w:r>
      <w:r w:rsidR="0072070F">
        <w:t>manifest</w:t>
      </w:r>
      <w:r w:rsidR="008F2B76">
        <w:t xml:space="preserve"> </w:t>
      </w:r>
      <w:r w:rsidR="00A749F9">
        <w:t>God’s</w:t>
      </w:r>
      <w:r w:rsidR="008F2B76">
        <w:t xml:space="preserve"> nature in the way that effects generally signify their causes – as smoke signifies fire or a flush signifies pregnancy</w:t>
      </w:r>
      <w:r w:rsidR="00912C8A">
        <w:t xml:space="preserve"> (</w:t>
      </w:r>
      <w:r w:rsidR="008F2B76">
        <w:t xml:space="preserve">to use </w:t>
      </w:r>
      <w:r w:rsidR="00E93AE2">
        <w:t>Roger Bacon</w:t>
      </w:r>
      <w:r w:rsidR="008F2F4E">
        <w:t>’s</w:t>
      </w:r>
      <w:r w:rsidR="00E93AE2">
        <w:t xml:space="preserve"> favoured </w:t>
      </w:r>
      <w:r w:rsidR="008F2B76">
        <w:t>example</w:t>
      </w:r>
      <w:r w:rsidR="00E93AE2">
        <w:t>s</w:t>
      </w:r>
      <w:r w:rsidR="00912C8A">
        <w:t>)</w:t>
      </w:r>
      <w:r>
        <w:t>.</w:t>
      </w:r>
      <w:r w:rsidR="00E93AE2">
        <w:rPr>
          <w:rStyle w:val="FootnoteReference"/>
        </w:rPr>
        <w:footnoteReference w:id="7"/>
      </w:r>
      <w:r>
        <w:t xml:space="preserve"> What about </w:t>
      </w:r>
      <w:r w:rsidR="008A7403">
        <w:t>(</w:t>
      </w:r>
      <w:proofErr w:type="spellStart"/>
      <w:r w:rsidR="008A7403">
        <w:t>i</w:t>
      </w:r>
      <w:proofErr w:type="spellEnd"/>
      <w:r w:rsidR="008A7403">
        <w:t>)</w:t>
      </w:r>
      <w:r>
        <w:t xml:space="preserve">? </w:t>
      </w:r>
      <w:r w:rsidR="00F3709D">
        <w:t>To propose that</w:t>
      </w:r>
      <w:r w:rsidR="008654FB">
        <w:t xml:space="preserve"> divine</w:t>
      </w:r>
      <w:r w:rsidR="00F3709D">
        <w:t xml:space="preserve"> expression involves identity</w:t>
      </w:r>
      <w:r w:rsidR="007A7EF6">
        <w:t xml:space="preserve"> is less bizarre than it might </w:t>
      </w:r>
      <w:r w:rsidR="00697746">
        <w:t xml:space="preserve">at first </w:t>
      </w:r>
      <w:r w:rsidR="007A7EF6">
        <w:t>appear, if we bear in mind that</w:t>
      </w:r>
      <w:r w:rsidR="00CC7D11">
        <w:t xml:space="preserve"> in </w:t>
      </w:r>
      <w:r w:rsidR="00A749F9">
        <w:t xml:space="preserve">Spinoza’s </w:t>
      </w:r>
      <w:r w:rsidR="0061607F">
        <w:t>era</w:t>
      </w:r>
      <w:r w:rsidR="00770BC4">
        <w:t xml:space="preserve"> the notion of</w:t>
      </w:r>
      <w:r w:rsidR="00CC7D11">
        <w:t xml:space="preserve"> </w:t>
      </w:r>
      <w:r w:rsidR="007A7EF6" w:rsidRPr="00770BC4">
        <w:rPr>
          <w:i/>
          <w:iCs/>
        </w:rPr>
        <w:t>representation</w:t>
      </w:r>
      <w:r w:rsidR="007A7EF6">
        <w:t xml:space="preserve"> </w:t>
      </w:r>
      <w:r w:rsidR="00770BC4">
        <w:t>was</w:t>
      </w:r>
      <w:r w:rsidR="00CC7D11">
        <w:t xml:space="preserve"> often</w:t>
      </w:r>
      <w:r w:rsidR="007A7EF6">
        <w:t xml:space="preserve"> treated </w:t>
      </w:r>
      <w:r w:rsidR="00770BC4">
        <w:t xml:space="preserve">this way: representations were often regarded </w:t>
      </w:r>
      <w:r w:rsidR="007A7EF6">
        <w:t xml:space="preserve">as </w:t>
      </w:r>
      <w:r w:rsidR="00CC7D11">
        <w:t xml:space="preserve">being </w:t>
      </w:r>
      <w:r w:rsidR="007A7EF6">
        <w:t>in some sense identical with what they represent.</w:t>
      </w:r>
      <w:r w:rsidR="007A7EF6">
        <w:rPr>
          <w:rStyle w:val="FootnoteReference"/>
        </w:rPr>
        <w:footnoteReference w:id="8"/>
      </w:r>
      <w:r w:rsidR="007A7EF6">
        <w:t xml:space="preserve"> </w:t>
      </w:r>
      <w:r w:rsidR="00CC7D11">
        <w:t xml:space="preserve">The idea of an identity between God and </w:t>
      </w:r>
      <w:r w:rsidR="00065436">
        <w:t>particular things</w:t>
      </w:r>
      <w:r w:rsidR="00CC7D11">
        <w:t xml:space="preserve"> is also suggested </w:t>
      </w:r>
      <w:r>
        <w:t xml:space="preserve">in </w:t>
      </w:r>
      <w:r w:rsidR="00A749F9">
        <w:t xml:space="preserve">Spinoza’s </w:t>
      </w:r>
      <w:r w:rsidR="00CC7D11">
        <w:t>statements to the effect</w:t>
      </w:r>
      <w:r>
        <w:t xml:space="preserve"> that each of </w:t>
      </w:r>
      <w:r w:rsidR="00A749F9">
        <w:t>God’s</w:t>
      </w:r>
      <w:r>
        <w:t xml:space="preserve"> modes </w:t>
      </w:r>
      <w:r w:rsidRPr="00065436">
        <w:rPr>
          <w:i/>
          <w:iCs/>
        </w:rPr>
        <w:t>is</w:t>
      </w:r>
      <w:r>
        <w:t xml:space="preserve"> God</w:t>
      </w:r>
      <w:r w:rsidR="00065436">
        <w:t>,</w:t>
      </w:r>
      <w:r>
        <w:t xml:space="preserve"> </w:t>
      </w:r>
      <w:r w:rsidRPr="00206015">
        <w:rPr>
          <w:i/>
          <w:iCs/>
        </w:rPr>
        <w:t>quatenus</w:t>
      </w:r>
      <w:r w:rsidR="00974345">
        <w:t xml:space="preserve"> </w:t>
      </w:r>
      <w:r>
        <w:t>some qualification.</w:t>
      </w:r>
      <w:r w:rsidR="00495D73">
        <w:rPr>
          <w:rStyle w:val="FootnoteReference"/>
        </w:rPr>
        <w:footnoteReference w:id="9"/>
      </w:r>
      <w:r>
        <w:t xml:space="preserve"> </w:t>
      </w:r>
      <w:r w:rsidR="00CC7D11">
        <w:t>For example, Spinoza suggests that w</w:t>
      </w:r>
      <w:r>
        <w:t>hen some human mind has an idea</w:t>
      </w:r>
      <w:r w:rsidR="00CC7D11">
        <w:t xml:space="preserve"> </w:t>
      </w:r>
      <w:r>
        <w:t xml:space="preserve">it follows that </w:t>
      </w:r>
      <w:r>
        <w:rPr>
          <w:i/>
          <w:iCs/>
        </w:rPr>
        <w:t>God</w:t>
      </w:r>
      <w:r>
        <w:t xml:space="preserve"> </w:t>
      </w:r>
      <w:r w:rsidR="00E917F8">
        <w:t>“</w:t>
      </w:r>
      <w:r w:rsidR="008A7403" w:rsidRPr="008A7403">
        <w:rPr>
          <w:i/>
          <w:iCs/>
        </w:rPr>
        <w:t>quatenus</w:t>
      </w:r>
      <w:r w:rsidR="008A7403">
        <w:t xml:space="preserve"> he is explained by the human mind, that is, </w:t>
      </w:r>
      <w:r w:rsidR="008A7403" w:rsidRPr="008A7403">
        <w:rPr>
          <w:i/>
          <w:iCs/>
        </w:rPr>
        <w:t>quatenus</w:t>
      </w:r>
      <w:r w:rsidR="008A7403">
        <w:t xml:space="preserve"> he constitutes the essence of the human mind</w:t>
      </w:r>
      <w:r w:rsidR="00A749F9">
        <w:t>”</w:t>
      </w:r>
      <w:r w:rsidR="00495D73">
        <w:t xml:space="preserve"> </w:t>
      </w:r>
      <w:r w:rsidR="00CC7D11">
        <w:t xml:space="preserve">has that idea </w:t>
      </w:r>
      <w:r w:rsidR="008A7403">
        <w:t xml:space="preserve">(E 2p11c). </w:t>
      </w:r>
      <w:r w:rsidR="00CD4320">
        <w:t xml:space="preserve">Douglas argues </w:t>
      </w:r>
      <w:r w:rsidR="00495D73">
        <w:t xml:space="preserve">that expressions of the form </w:t>
      </w:r>
      <w:r w:rsidR="00E917F8">
        <w:t>“</w:t>
      </w:r>
      <w:r w:rsidR="00495D73">
        <w:t xml:space="preserve">God </w:t>
      </w:r>
      <w:r w:rsidR="00495D73">
        <w:rPr>
          <w:i/>
          <w:iCs/>
        </w:rPr>
        <w:t>quatenus</w:t>
      </w:r>
      <w:r w:rsidR="00495D73">
        <w:t>…</w:t>
      </w:r>
      <w:r w:rsidR="00A749F9">
        <w:t>”</w:t>
      </w:r>
      <w:r w:rsidR="00495D73">
        <w:t xml:space="preserve"> in Spinoza function as </w:t>
      </w:r>
      <w:r w:rsidR="00495D73">
        <w:lastRenderedPageBreak/>
        <w:t xml:space="preserve">distinct logical subjects from </w:t>
      </w:r>
      <w:r w:rsidR="00E917F8">
        <w:t>“</w:t>
      </w:r>
      <w:r w:rsidR="00495D73">
        <w:t>God</w:t>
      </w:r>
      <w:r w:rsidR="00A749F9">
        <w:t>”</w:t>
      </w:r>
      <w:r w:rsidR="001A023B">
        <w:t>.</w:t>
      </w:r>
      <w:r w:rsidR="001A023B">
        <w:rPr>
          <w:rStyle w:val="FootnoteReference"/>
        </w:rPr>
        <w:footnoteReference w:id="10"/>
      </w:r>
      <w:r w:rsidR="00495D73">
        <w:t xml:space="preserve"> Lin </w:t>
      </w:r>
      <w:r w:rsidR="00D37872">
        <w:t>argues</w:t>
      </w:r>
      <w:r w:rsidR="008604E7">
        <w:t>,</w:t>
      </w:r>
      <w:r w:rsidR="00495D73">
        <w:t xml:space="preserve"> furthermore</w:t>
      </w:r>
      <w:r w:rsidR="008604E7">
        <w:t>,</w:t>
      </w:r>
      <w:r w:rsidR="00495D73">
        <w:t xml:space="preserve"> that the objects denoted by those expressions are distinct from the one denoted by </w:t>
      </w:r>
      <w:r w:rsidR="00E917F8">
        <w:t>“</w:t>
      </w:r>
      <w:r w:rsidR="00495D73">
        <w:t>God</w:t>
      </w:r>
      <w:r w:rsidR="00A749F9">
        <w:t>”</w:t>
      </w:r>
      <w:r w:rsidR="00CC7D11">
        <w:t xml:space="preserve">, </w:t>
      </w:r>
      <w:r w:rsidR="00495D73">
        <w:t xml:space="preserve">although </w:t>
      </w:r>
      <w:r w:rsidR="0064586A">
        <w:t>he regards them as</w:t>
      </w:r>
      <w:r w:rsidR="00495D73">
        <w:t xml:space="preserve"> strange, </w:t>
      </w:r>
      <w:r w:rsidR="00E917F8">
        <w:t>“</w:t>
      </w:r>
      <w:r w:rsidR="00495D73">
        <w:t>non-basic</w:t>
      </w:r>
      <w:r w:rsidR="00A749F9">
        <w:t>”</w:t>
      </w:r>
      <w:r w:rsidR="00495D73">
        <w:t xml:space="preserve"> objects that ontologically depend on God in an intimate way.</w:t>
      </w:r>
      <w:r w:rsidR="00495D73">
        <w:rPr>
          <w:rStyle w:val="FootnoteReference"/>
        </w:rPr>
        <w:footnoteReference w:id="11"/>
      </w:r>
      <w:r w:rsidR="001A023B">
        <w:t xml:space="preserve"> Nevertheless, the language </w:t>
      </w:r>
      <w:r w:rsidR="0045543A">
        <w:t xml:space="preserve">that identifies ordinary modes, such as the human mind, with </w:t>
      </w:r>
      <w:r w:rsidR="00E917F8">
        <w:t>“</w:t>
      </w:r>
      <w:r w:rsidR="001A023B">
        <w:t xml:space="preserve">God </w:t>
      </w:r>
      <w:r w:rsidR="001A023B">
        <w:rPr>
          <w:i/>
          <w:iCs/>
        </w:rPr>
        <w:t>quatenus</w:t>
      </w:r>
      <w:r w:rsidR="0045543A">
        <w:t>…</w:t>
      </w:r>
      <w:r w:rsidR="00A749F9">
        <w:t>”</w:t>
      </w:r>
      <w:r w:rsidR="0045543A">
        <w:t xml:space="preserve"> evokes some sort of identity</w:t>
      </w:r>
      <w:r w:rsidR="00900BA7">
        <w:t>,</w:t>
      </w:r>
      <w:r w:rsidR="0045543A">
        <w:t xml:space="preserve"> no less than </w:t>
      </w:r>
      <w:proofErr w:type="spellStart"/>
      <w:r w:rsidR="00866E86">
        <w:t>Eriugena’s</w:t>
      </w:r>
      <w:proofErr w:type="spellEnd"/>
      <w:r w:rsidR="00866E86">
        <w:t xml:space="preserve"> </w:t>
      </w:r>
      <w:r w:rsidR="0045543A">
        <w:t xml:space="preserve">mysterious </w:t>
      </w:r>
      <w:r w:rsidR="0061607F">
        <w:t>pronouncement</w:t>
      </w:r>
      <w:r w:rsidR="0045543A">
        <w:t xml:space="preserve"> that in creating things the Divine Nature </w:t>
      </w:r>
      <w:r w:rsidR="0045543A">
        <w:rPr>
          <w:i/>
          <w:iCs/>
        </w:rPr>
        <w:t>creates itself</w:t>
      </w:r>
      <w:r w:rsidR="0045543A">
        <w:t>.</w:t>
      </w:r>
    </w:p>
    <w:p w14:paraId="276ACF77" w14:textId="2A4ABCE7" w:rsidR="00F25BBE" w:rsidRPr="00F25BBE" w:rsidRDefault="00F25BBE" w:rsidP="00F3709D">
      <w:pPr>
        <w:ind w:firstLine="720"/>
      </w:pPr>
      <w:r>
        <w:t xml:space="preserve">These three relations are intimately connected in the concept of expression, which is thus a single relation with three different aspects rather than a mere bundle of three relations. An expressed object efficiently causes its expressions, and </w:t>
      </w:r>
      <w:r>
        <w:rPr>
          <w:i/>
          <w:iCs/>
        </w:rPr>
        <w:t xml:space="preserve">insofar as </w:t>
      </w:r>
      <w:r>
        <w:t>it causes them it manifests them, as effects often signify their causes</w:t>
      </w:r>
      <w:r w:rsidR="007737A0">
        <w:t>,</w:t>
      </w:r>
      <w:r>
        <w:t xml:space="preserve"> and </w:t>
      </w:r>
      <w:r>
        <w:rPr>
          <w:i/>
          <w:iCs/>
        </w:rPr>
        <w:t xml:space="preserve">insofar </w:t>
      </w:r>
      <w:r>
        <w:t>as it manifests them it is in some sense identical with them, as a representation is in some sense identical with its object on the theory referenced above.</w:t>
      </w:r>
    </w:p>
    <w:p w14:paraId="65B4BFE0" w14:textId="59F07817" w:rsidR="0045543A" w:rsidRDefault="00A8034D" w:rsidP="0045543A">
      <w:pPr>
        <w:ind w:firstLine="720"/>
      </w:pPr>
      <w:r>
        <w:t>Some historians deny</w:t>
      </w:r>
      <w:r w:rsidR="0045543A">
        <w:t xml:space="preserve"> that </w:t>
      </w:r>
      <w:proofErr w:type="spellStart"/>
      <w:r w:rsidR="0045543A">
        <w:t>Eriugena</w:t>
      </w:r>
      <w:proofErr w:type="spellEnd"/>
      <w:r w:rsidR="0045543A">
        <w:t xml:space="preserve"> </w:t>
      </w:r>
      <w:r w:rsidR="00F25BBE">
        <w:t xml:space="preserve">goes as far as </w:t>
      </w:r>
      <w:r w:rsidR="00F25BBE" w:rsidRPr="00F25BBE">
        <w:rPr>
          <w:i/>
          <w:iCs/>
        </w:rPr>
        <w:t>identifying</w:t>
      </w:r>
      <w:r w:rsidR="009B377E">
        <w:t xml:space="preserve"> God (or the </w:t>
      </w:r>
      <w:r w:rsidR="009B525F">
        <w:t>d</w:t>
      </w:r>
      <w:r w:rsidR="009B377E">
        <w:t xml:space="preserve">ivine </w:t>
      </w:r>
      <w:r w:rsidR="009B525F">
        <w:t>n</w:t>
      </w:r>
      <w:r w:rsidR="009B377E">
        <w:t xml:space="preserve">ature) with his </w:t>
      </w:r>
      <w:r w:rsidR="00F5336E">
        <w:t>theophanies</w:t>
      </w:r>
      <w:r w:rsidR="00F25BBE">
        <w:t>, since this would make him a pantheist</w:t>
      </w:r>
      <w:r w:rsidR="00F25BBE">
        <w:rPr>
          <w:rStyle w:val="FootnoteReference"/>
        </w:rPr>
        <w:footnoteReference w:id="12"/>
      </w:r>
      <w:r w:rsidR="00F25BBE">
        <w:t xml:space="preserve"> of sorts</w:t>
      </w:r>
      <w:r w:rsidR="0045543A">
        <w:t>:</w:t>
      </w:r>
    </w:p>
    <w:p w14:paraId="3C707A6E" w14:textId="4D47FEE4" w:rsidR="0045543A" w:rsidRPr="00B441F4" w:rsidRDefault="0045543A" w:rsidP="0045543A">
      <w:pPr>
        <w:pStyle w:val="Quote"/>
      </w:pPr>
      <w:r>
        <w:t xml:space="preserve">Erigena [sic.] has been accused of being a pantheist because of his daring statements identifying God with the being of creatures. For example, he calls God </w:t>
      </w:r>
      <w:r w:rsidR="00A749F9">
        <w:t>“</w:t>
      </w:r>
      <w:r>
        <w:t>the being of all things</w:t>
      </w:r>
      <w:r w:rsidR="00A749F9">
        <w:t>”</w:t>
      </w:r>
      <w:r>
        <w:t xml:space="preserve">. But in </w:t>
      </w:r>
      <w:proofErr w:type="gramStart"/>
      <w:r>
        <w:t>fact</w:t>
      </w:r>
      <w:proofErr w:type="gramEnd"/>
      <w:r>
        <w:t xml:space="preserve"> he does not identify God with his creatures […]. He raises God so far above beings that no confusion between them is possible.</w:t>
      </w:r>
      <w:r w:rsidRPr="005F3607">
        <w:rPr>
          <w:rStyle w:val="FootnoteReference"/>
        </w:rPr>
        <w:footnoteReference w:id="13"/>
      </w:r>
    </w:p>
    <w:p w14:paraId="5FF0EA30" w14:textId="39F140DB" w:rsidR="00A8034D" w:rsidRDefault="009B377E" w:rsidP="009B377E">
      <w:r>
        <w:lastRenderedPageBreak/>
        <w:t xml:space="preserve">In the passage quoted above, we see </w:t>
      </w:r>
      <w:proofErr w:type="spellStart"/>
      <w:r>
        <w:t>Eriugena</w:t>
      </w:r>
      <w:proofErr w:type="spellEnd"/>
      <w:r>
        <w:t xml:space="preserve"> stating that the </w:t>
      </w:r>
      <w:r w:rsidR="009B525F">
        <w:t>d</w:t>
      </w:r>
      <w:r>
        <w:t xml:space="preserve">ivine </w:t>
      </w:r>
      <w:r w:rsidR="009B525F">
        <w:t>n</w:t>
      </w:r>
      <w:r>
        <w:t xml:space="preserve">ature </w:t>
      </w:r>
      <w:r w:rsidR="00A749F9">
        <w:t>“</w:t>
      </w:r>
      <w:r w:rsidRPr="00B441F4">
        <w:t>is infinite and supernatural and superessential and beyond everything that can and cannot be understood</w:t>
      </w:r>
      <w:r w:rsidR="00A749F9">
        <w:t>”</w:t>
      </w:r>
      <w:r w:rsidR="00A8034D">
        <w:t xml:space="preserve">. The </w:t>
      </w:r>
      <w:r w:rsidR="009B525F">
        <w:t>d</w:t>
      </w:r>
      <w:r w:rsidR="00A8034D">
        <w:t xml:space="preserve">ivine </w:t>
      </w:r>
      <w:r w:rsidR="009B525F">
        <w:t>n</w:t>
      </w:r>
      <w:r w:rsidR="00A8034D">
        <w:t xml:space="preserve">ature is beyond </w:t>
      </w:r>
      <w:r w:rsidR="00A8034D" w:rsidRPr="00A8034D">
        <w:rPr>
          <w:i/>
          <w:iCs/>
        </w:rPr>
        <w:t>all</w:t>
      </w:r>
      <w:r w:rsidR="00A8034D">
        <w:t xml:space="preserve"> beings, both comprehensible and incomprehensible</w:t>
      </w:r>
      <w:r w:rsidR="00A93466">
        <w:t>.</w:t>
      </w:r>
      <w:r w:rsidR="00A8034D">
        <w:t xml:space="preserve"> </w:t>
      </w:r>
      <w:r w:rsidR="00A93466">
        <w:t>I</w:t>
      </w:r>
      <w:r w:rsidR="00A8034D">
        <w:t>t cannot then be identified with any being.</w:t>
      </w:r>
      <w:r w:rsidR="00A8034D">
        <w:rPr>
          <w:rStyle w:val="FootnoteReference"/>
        </w:rPr>
        <w:footnoteReference w:id="14"/>
      </w:r>
      <w:r w:rsidR="00A8034D">
        <w:t xml:space="preserve"> Likewise, Natalia </w:t>
      </w:r>
      <w:proofErr w:type="spellStart"/>
      <w:r w:rsidR="00A8034D">
        <w:t>Strok</w:t>
      </w:r>
      <w:proofErr w:type="spellEnd"/>
      <w:r w:rsidR="00A8034D">
        <w:t xml:space="preserve"> notes that while there are passages in </w:t>
      </w:r>
      <w:proofErr w:type="spellStart"/>
      <w:r w:rsidR="00866E86">
        <w:t>Eriugena’s</w:t>
      </w:r>
      <w:proofErr w:type="spellEnd"/>
      <w:r w:rsidR="00866E86">
        <w:t xml:space="preserve"> </w:t>
      </w:r>
      <w:proofErr w:type="spellStart"/>
      <w:r w:rsidR="00A8034D">
        <w:rPr>
          <w:i/>
          <w:iCs/>
        </w:rPr>
        <w:t>Periphyseon</w:t>
      </w:r>
      <w:proofErr w:type="spellEnd"/>
      <w:r w:rsidR="00A8034D">
        <w:t xml:space="preserve"> that lend themselves to a pantheistic reading:</w:t>
      </w:r>
    </w:p>
    <w:p w14:paraId="7BC8A9F5" w14:textId="5A4142DB" w:rsidR="00A8034D" w:rsidRDefault="00A8034D" w:rsidP="00A8034D">
      <w:pPr>
        <w:pStyle w:val="Quote"/>
        <w:rPr>
          <w:lang w:val="en-GB"/>
        </w:rPr>
      </w:pPr>
      <w:r w:rsidRPr="00A8034D">
        <w:rPr>
          <w:lang w:val="en-GB"/>
        </w:rPr>
        <w:t xml:space="preserve">there are fragments in </w:t>
      </w:r>
      <w:proofErr w:type="spellStart"/>
      <w:r w:rsidRPr="00A8034D">
        <w:rPr>
          <w:i/>
          <w:iCs w:val="0"/>
          <w:lang w:val="en-GB"/>
        </w:rPr>
        <w:t>Periphyseon</w:t>
      </w:r>
      <w:proofErr w:type="spellEnd"/>
      <w:r w:rsidRPr="00A8034D">
        <w:rPr>
          <w:lang w:val="en-GB"/>
        </w:rPr>
        <w:t xml:space="preserve"> that go in opposition and distinguish</w:t>
      </w:r>
      <w:r>
        <w:rPr>
          <w:lang w:val="en-GB"/>
        </w:rPr>
        <w:t xml:space="preserve"> </w:t>
      </w:r>
      <w:r w:rsidRPr="00A8034D">
        <w:rPr>
          <w:lang w:val="en-GB"/>
        </w:rPr>
        <w:t xml:space="preserve">God from His </w:t>
      </w:r>
      <w:r>
        <w:rPr>
          <w:lang w:val="en-GB"/>
        </w:rPr>
        <w:t>creation</w:t>
      </w:r>
      <w:r w:rsidRPr="00A8034D">
        <w:rPr>
          <w:lang w:val="en-GB"/>
        </w:rPr>
        <w:t xml:space="preserve"> because, although the essence of everything is in</w:t>
      </w:r>
      <w:r>
        <w:rPr>
          <w:lang w:val="en-GB"/>
        </w:rPr>
        <w:t xml:space="preserve"> </w:t>
      </w:r>
      <w:r w:rsidRPr="00A8034D">
        <w:rPr>
          <w:lang w:val="en-GB"/>
        </w:rPr>
        <w:t>Hi</w:t>
      </w:r>
      <w:r>
        <w:rPr>
          <w:lang w:val="en-GB"/>
        </w:rPr>
        <w:t>m</w:t>
      </w:r>
      <w:r w:rsidRPr="00A8034D">
        <w:rPr>
          <w:lang w:val="en-GB"/>
        </w:rPr>
        <w:t xml:space="preserve">, divinity </w:t>
      </w:r>
      <w:proofErr w:type="gramStart"/>
      <w:r w:rsidRPr="00A8034D">
        <w:rPr>
          <w:lang w:val="en-GB"/>
        </w:rPr>
        <w:t>still remains</w:t>
      </w:r>
      <w:proofErr w:type="gramEnd"/>
      <w:r w:rsidRPr="00A8034D">
        <w:rPr>
          <w:lang w:val="en-GB"/>
        </w:rPr>
        <w:t xml:space="preserve"> in an unreachable and transcendent level,</w:t>
      </w:r>
      <w:r>
        <w:rPr>
          <w:lang w:val="en-GB"/>
        </w:rPr>
        <w:t xml:space="preserve"> </w:t>
      </w:r>
      <w:r w:rsidRPr="00A8034D">
        <w:rPr>
          <w:lang w:val="en-GB"/>
        </w:rPr>
        <w:t>beyond everything, and is nothing of the cr</w:t>
      </w:r>
      <w:r>
        <w:rPr>
          <w:lang w:val="en-GB"/>
        </w:rPr>
        <w:t>ea</w:t>
      </w:r>
      <w:r w:rsidRPr="00A8034D">
        <w:rPr>
          <w:lang w:val="en-GB"/>
        </w:rPr>
        <w:t>tion ord</w:t>
      </w:r>
      <w:r>
        <w:rPr>
          <w:lang w:val="en-GB"/>
        </w:rPr>
        <w:t>er.</w:t>
      </w:r>
      <w:r w:rsidR="00B62C19">
        <w:rPr>
          <w:rStyle w:val="FootnoteReference"/>
          <w:lang w:val="en-GB"/>
        </w:rPr>
        <w:footnoteReference w:id="15"/>
      </w:r>
    </w:p>
    <w:p w14:paraId="14AEA22E" w14:textId="4667479C" w:rsidR="00B62C19" w:rsidRDefault="004F35E1" w:rsidP="00B62C19">
      <w:pPr>
        <w:rPr>
          <w:lang w:val="en-GB"/>
        </w:rPr>
      </w:pPr>
      <w:r>
        <w:rPr>
          <w:lang w:val="en-GB"/>
        </w:rPr>
        <w:t>W</w:t>
      </w:r>
      <w:r w:rsidR="00C44F0C">
        <w:rPr>
          <w:lang w:val="en-GB"/>
        </w:rPr>
        <w:t>hether</w:t>
      </w:r>
      <w:r>
        <w:rPr>
          <w:lang w:val="en-GB"/>
        </w:rPr>
        <w:t xml:space="preserve"> or not</w:t>
      </w:r>
      <w:r w:rsidR="00C44F0C">
        <w:rPr>
          <w:lang w:val="en-GB"/>
        </w:rPr>
        <w:t xml:space="preserve"> </w:t>
      </w:r>
      <w:proofErr w:type="spellStart"/>
      <w:r w:rsidR="00C44F0C">
        <w:rPr>
          <w:lang w:val="en-GB"/>
        </w:rPr>
        <w:t>Eriugena</w:t>
      </w:r>
      <w:proofErr w:type="spellEnd"/>
      <w:r w:rsidR="00C44F0C">
        <w:rPr>
          <w:lang w:val="en-GB"/>
        </w:rPr>
        <w:t xml:space="preserve"> should be seen as a pantheist</w:t>
      </w:r>
      <w:r w:rsidR="00B62C19">
        <w:rPr>
          <w:lang w:val="en-GB"/>
        </w:rPr>
        <w:t xml:space="preserve">, the contrast with Spinoza </w:t>
      </w:r>
      <w:r>
        <w:rPr>
          <w:lang w:val="en-GB"/>
        </w:rPr>
        <w:t xml:space="preserve">on this point </w:t>
      </w:r>
      <w:r w:rsidR="00B62C19">
        <w:rPr>
          <w:lang w:val="en-GB"/>
        </w:rPr>
        <w:t xml:space="preserve">is striking. Spinoza is very clear in ascribing both </w:t>
      </w:r>
      <w:r w:rsidR="00B62C19" w:rsidRPr="00B62C19">
        <w:rPr>
          <w:lang w:val="en-GB"/>
        </w:rPr>
        <w:t>being</w:t>
      </w:r>
      <w:r w:rsidR="00B62C19">
        <w:rPr>
          <w:lang w:val="en-GB"/>
        </w:rPr>
        <w:t xml:space="preserve"> and </w:t>
      </w:r>
      <w:r w:rsidR="00C30C1D">
        <w:rPr>
          <w:lang w:val="en-GB"/>
        </w:rPr>
        <w:t>comprehensibility</w:t>
      </w:r>
      <w:r w:rsidR="00B62C19">
        <w:rPr>
          <w:lang w:val="en-GB"/>
        </w:rPr>
        <w:t xml:space="preserve"> to God</w:t>
      </w:r>
      <w:r w:rsidR="00F332AF">
        <w:rPr>
          <w:lang w:val="en-GB"/>
        </w:rPr>
        <w:t>.</w:t>
      </w:r>
      <w:r w:rsidR="00B62C19">
        <w:rPr>
          <w:lang w:val="en-GB"/>
        </w:rPr>
        <w:t xml:space="preserve"> </w:t>
      </w:r>
      <w:r w:rsidR="00F332AF">
        <w:rPr>
          <w:lang w:val="en-GB"/>
        </w:rPr>
        <w:t>I</w:t>
      </w:r>
      <w:r w:rsidR="00B62C19">
        <w:rPr>
          <w:lang w:val="en-GB"/>
        </w:rPr>
        <w:t xml:space="preserve">t is part of the very definition of God that he is in himself and is </w:t>
      </w:r>
      <w:r w:rsidR="00473C98">
        <w:rPr>
          <w:lang w:val="en-GB"/>
        </w:rPr>
        <w:t>conceived</w:t>
      </w:r>
      <w:r w:rsidR="00B62C19">
        <w:rPr>
          <w:lang w:val="en-GB"/>
        </w:rPr>
        <w:t xml:space="preserve"> through himself (</w:t>
      </w:r>
      <w:r w:rsidR="00902411">
        <w:rPr>
          <w:lang w:val="en-GB"/>
        </w:rPr>
        <w:t xml:space="preserve">E </w:t>
      </w:r>
      <w:r w:rsidR="00B62C19">
        <w:rPr>
          <w:lang w:val="en-GB"/>
        </w:rPr>
        <w:t>1def6)</w:t>
      </w:r>
      <w:r w:rsidR="00F332AF">
        <w:rPr>
          <w:lang w:val="en-GB"/>
        </w:rPr>
        <w:t>.</w:t>
      </w:r>
      <w:r w:rsidR="00C30C1D">
        <w:rPr>
          <w:lang w:val="en-GB"/>
        </w:rPr>
        <w:t xml:space="preserve"> </w:t>
      </w:r>
      <w:r w:rsidR="00F332AF">
        <w:rPr>
          <w:lang w:val="en-GB"/>
        </w:rPr>
        <w:t>M</w:t>
      </w:r>
      <w:r w:rsidR="00C30C1D">
        <w:rPr>
          <w:lang w:val="en-GB"/>
        </w:rPr>
        <w:t>oreover</w:t>
      </w:r>
      <w:r w:rsidR="00C85810">
        <w:rPr>
          <w:lang w:val="en-GB"/>
        </w:rPr>
        <w:t>,</w:t>
      </w:r>
      <w:r w:rsidR="00C30C1D">
        <w:rPr>
          <w:lang w:val="en-GB"/>
        </w:rPr>
        <w:t xml:space="preserve"> Spinoza </w:t>
      </w:r>
      <w:r w:rsidR="00902411">
        <w:rPr>
          <w:lang w:val="en-GB"/>
        </w:rPr>
        <w:t xml:space="preserve">credits the human mind with an adequate idea of </w:t>
      </w:r>
      <w:r w:rsidR="00A749F9">
        <w:rPr>
          <w:lang w:val="en-GB"/>
        </w:rPr>
        <w:t>God’s</w:t>
      </w:r>
      <w:r w:rsidR="00902411">
        <w:rPr>
          <w:lang w:val="en-GB"/>
        </w:rPr>
        <w:t xml:space="preserve"> essence (E 2p47</w:t>
      </w:r>
      <w:r w:rsidR="00F332AF">
        <w:rPr>
          <w:lang w:val="en-GB"/>
        </w:rPr>
        <w:t xml:space="preserve">), meaning that God is certainly not beyond </w:t>
      </w:r>
      <w:r w:rsidR="00B04355">
        <w:rPr>
          <w:lang w:val="en-GB"/>
        </w:rPr>
        <w:t>knowledge</w:t>
      </w:r>
      <w:r w:rsidR="00B62C19">
        <w:rPr>
          <w:lang w:val="en-GB"/>
        </w:rPr>
        <w:t>.</w:t>
      </w:r>
      <w:r w:rsidR="00C44F0C">
        <w:rPr>
          <w:lang w:val="en-GB"/>
        </w:rPr>
        <w:t xml:space="preserve"> </w:t>
      </w:r>
      <w:r w:rsidR="00900BA7">
        <w:rPr>
          <w:lang w:val="en-GB"/>
        </w:rPr>
        <w:t xml:space="preserve">The reasons allegedly prohibiting </w:t>
      </w:r>
      <w:proofErr w:type="spellStart"/>
      <w:r w:rsidR="00900BA7">
        <w:rPr>
          <w:lang w:val="en-GB"/>
        </w:rPr>
        <w:t>Eriugena</w:t>
      </w:r>
      <w:proofErr w:type="spellEnd"/>
      <w:r w:rsidR="00900BA7">
        <w:rPr>
          <w:lang w:val="en-GB"/>
        </w:rPr>
        <w:t xml:space="preserve"> from being a pantheist are not present for Spinoza. </w:t>
      </w:r>
      <w:r w:rsidR="00C44F0C">
        <w:rPr>
          <w:lang w:val="en-GB"/>
        </w:rPr>
        <w:t xml:space="preserve">Perhaps, </w:t>
      </w:r>
      <w:r w:rsidR="00900BA7">
        <w:rPr>
          <w:lang w:val="en-GB"/>
        </w:rPr>
        <w:t>however</w:t>
      </w:r>
      <w:r w:rsidR="00C44F0C">
        <w:rPr>
          <w:lang w:val="en-GB"/>
        </w:rPr>
        <w:t xml:space="preserve">, </w:t>
      </w:r>
      <w:r w:rsidR="00900BA7">
        <w:rPr>
          <w:lang w:val="en-GB"/>
        </w:rPr>
        <w:t>these differences show that it</w:t>
      </w:r>
      <w:r w:rsidR="00C44F0C">
        <w:rPr>
          <w:lang w:val="en-GB"/>
        </w:rPr>
        <w:t xml:space="preserve"> is misguided to draw too close a parallel between the </w:t>
      </w:r>
      <w:r w:rsidR="00C44F0C" w:rsidRPr="00900BA7">
        <w:rPr>
          <w:lang w:val="en-GB"/>
        </w:rPr>
        <w:t>theophanic</w:t>
      </w:r>
      <w:r w:rsidR="00C44F0C">
        <w:rPr>
          <w:lang w:val="en-GB"/>
        </w:rPr>
        <w:t xml:space="preserve"> relation between God and his creatures in </w:t>
      </w:r>
      <w:proofErr w:type="spellStart"/>
      <w:r w:rsidR="00C44F0C">
        <w:rPr>
          <w:lang w:val="en-GB"/>
        </w:rPr>
        <w:t>Eriugena</w:t>
      </w:r>
      <w:proofErr w:type="spellEnd"/>
      <w:r w:rsidR="00C44F0C">
        <w:rPr>
          <w:lang w:val="en-GB"/>
        </w:rPr>
        <w:t xml:space="preserve"> and the </w:t>
      </w:r>
      <w:r w:rsidR="00C44F0C" w:rsidRPr="00900BA7">
        <w:rPr>
          <w:lang w:val="en-GB"/>
        </w:rPr>
        <w:t>expressive</w:t>
      </w:r>
      <w:r w:rsidR="00C44F0C">
        <w:rPr>
          <w:lang w:val="en-GB"/>
        </w:rPr>
        <w:t xml:space="preserve"> relation between God and his modes in Spinoza.</w:t>
      </w:r>
    </w:p>
    <w:p w14:paraId="56C2580F" w14:textId="13D08ABC" w:rsidR="003004A4" w:rsidRDefault="003004A4" w:rsidP="003004A4">
      <w:pPr>
        <w:pStyle w:val="Heading1"/>
        <w:rPr>
          <w:lang w:val="en-GB"/>
        </w:rPr>
      </w:pPr>
      <w:r>
        <w:rPr>
          <w:lang w:val="en-GB"/>
        </w:rPr>
        <w:t xml:space="preserve">3. Divine Indeterminacy in Spinoza and </w:t>
      </w:r>
      <w:proofErr w:type="spellStart"/>
      <w:r>
        <w:rPr>
          <w:lang w:val="en-GB"/>
        </w:rPr>
        <w:t>Eriugena</w:t>
      </w:r>
      <w:proofErr w:type="spellEnd"/>
    </w:p>
    <w:p w14:paraId="1C2E6A15" w14:textId="3588A8D9" w:rsidR="00C44F0C" w:rsidRDefault="00C44F0C" w:rsidP="00B62C19">
      <w:pPr>
        <w:rPr>
          <w:lang w:val="en-GB"/>
        </w:rPr>
      </w:pPr>
      <w:r>
        <w:rPr>
          <w:lang w:val="en-GB"/>
        </w:rPr>
        <w:t xml:space="preserve">One point, however, should give us pause before moving entirely away from this parallel. The reason </w:t>
      </w:r>
      <w:proofErr w:type="spellStart"/>
      <w:r>
        <w:rPr>
          <w:lang w:val="en-GB"/>
        </w:rPr>
        <w:t>Eriugena</w:t>
      </w:r>
      <w:proofErr w:type="spellEnd"/>
      <w:r>
        <w:rPr>
          <w:lang w:val="en-GB"/>
        </w:rPr>
        <w:t xml:space="preserve"> regards God as beyond being and </w:t>
      </w:r>
      <w:r w:rsidR="009B525F">
        <w:rPr>
          <w:lang w:val="en-GB"/>
        </w:rPr>
        <w:t>knowledge</w:t>
      </w:r>
      <w:r>
        <w:rPr>
          <w:lang w:val="en-GB"/>
        </w:rPr>
        <w:t xml:space="preserve"> seems to concern the </w:t>
      </w:r>
      <w:r w:rsidRPr="00C44F0C">
        <w:rPr>
          <w:i/>
          <w:iCs/>
          <w:lang w:val="en-GB"/>
        </w:rPr>
        <w:t>indeterminacy</w:t>
      </w:r>
      <w:r>
        <w:rPr>
          <w:lang w:val="en-GB"/>
        </w:rPr>
        <w:t xml:space="preserve"> of the </w:t>
      </w:r>
      <w:r w:rsidR="00D2296D">
        <w:rPr>
          <w:lang w:val="en-GB"/>
        </w:rPr>
        <w:t>d</w:t>
      </w:r>
      <w:r>
        <w:rPr>
          <w:lang w:val="en-GB"/>
        </w:rPr>
        <w:t xml:space="preserve">ivine </w:t>
      </w:r>
      <w:r w:rsidR="00D2296D">
        <w:rPr>
          <w:lang w:val="en-GB"/>
        </w:rPr>
        <w:t>n</w:t>
      </w:r>
      <w:r>
        <w:rPr>
          <w:lang w:val="en-GB"/>
        </w:rPr>
        <w:t xml:space="preserve">ature. </w:t>
      </w:r>
      <w:r w:rsidR="00DC0EDA">
        <w:rPr>
          <w:lang w:val="en-GB"/>
        </w:rPr>
        <w:t>Concerning t</w:t>
      </w:r>
      <w:r>
        <w:rPr>
          <w:lang w:val="en-GB"/>
        </w:rPr>
        <w:t>he</w:t>
      </w:r>
      <w:r w:rsidR="00DC0EDA">
        <w:rPr>
          <w:lang w:val="en-GB"/>
        </w:rPr>
        <w:t xml:space="preserve"> </w:t>
      </w:r>
      <w:r w:rsidR="009B525F">
        <w:rPr>
          <w:lang w:val="en-GB"/>
        </w:rPr>
        <w:t>unknowability</w:t>
      </w:r>
      <w:r w:rsidR="00DC0EDA">
        <w:rPr>
          <w:lang w:val="en-GB"/>
        </w:rPr>
        <w:t xml:space="preserve"> of God (even </w:t>
      </w:r>
      <w:r w:rsidR="00B624CA">
        <w:rPr>
          <w:lang w:val="en-GB"/>
        </w:rPr>
        <w:t xml:space="preserve">to </w:t>
      </w:r>
      <w:r w:rsidR="009B525F">
        <w:rPr>
          <w:lang w:val="en-GB"/>
        </w:rPr>
        <w:t xml:space="preserve">God </w:t>
      </w:r>
      <w:r w:rsidR="00B624CA">
        <w:rPr>
          <w:lang w:val="en-GB"/>
        </w:rPr>
        <w:t>himself</w:t>
      </w:r>
      <w:r w:rsidR="00DC0EDA">
        <w:rPr>
          <w:lang w:val="en-GB"/>
        </w:rPr>
        <w:t>), the</w:t>
      </w:r>
      <w:r>
        <w:rPr>
          <w:lang w:val="en-GB"/>
        </w:rPr>
        <w:t xml:space="preserve"> </w:t>
      </w:r>
      <w:proofErr w:type="spellStart"/>
      <w:r>
        <w:rPr>
          <w:i/>
          <w:iCs/>
          <w:lang w:val="en-GB"/>
        </w:rPr>
        <w:t>Periphyseon</w:t>
      </w:r>
      <w:proofErr w:type="spellEnd"/>
      <w:r>
        <w:rPr>
          <w:lang w:val="en-GB"/>
        </w:rPr>
        <w:t xml:space="preserve"> </w:t>
      </w:r>
      <w:r w:rsidR="00DC0EDA">
        <w:rPr>
          <w:lang w:val="en-GB"/>
        </w:rPr>
        <w:t>asks</w:t>
      </w:r>
      <w:r>
        <w:rPr>
          <w:lang w:val="en-GB"/>
        </w:rPr>
        <w:t>:</w:t>
      </w:r>
    </w:p>
    <w:p w14:paraId="079D6A6B" w14:textId="1A962AC8" w:rsidR="00DC0EDA" w:rsidRPr="00DC0EDA" w:rsidRDefault="00DC0EDA" w:rsidP="00DC0EDA">
      <w:pPr>
        <w:pStyle w:val="Quote"/>
        <w:rPr>
          <w:lang w:val="en-GB"/>
        </w:rPr>
      </w:pPr>
      <w:r w:rsidRPr="00DC0EDA">
        <w:rPr>
          <w:lang w:val="en-GB"/>
        </w:rPr>
        <w:lastRenderedPageBreak/>
        <w:t>How, therefore, can the divine nature understand of itself what it is, seeing that it is nothing (</w:t>
      </w:r>
      <w:r w:rsidRPr="00DC0EDA">
        <w:rPr>
          <w:i/>
          <w:iCs w:val="0"/>
          <w:lang w:val="en-GB"/>
        </w:rPr>
        <w:t>nihil</w:t>
      </w:r>
      <w:r w:rsidRPr="00DC0EDA">
        <w:rPr>
          <w:lang w:val="en-GB"/>
        </w:rPr>
        <w:t xml:space="preserve">)? For it surpasses everything that is, since it is not even being but all being derives from it, and by virtue of its excellence it is supereminent over every essence and every substance. </w:t>
      </w:r>
      <w:r>
        <w:rPr>
          <w:lang w:val="en-GB"/>
        </w:rPr>
        <w:t>[…]</w:t>
      </w:r>
      <w:r w:rsidRPr="00DC0EDA">
        <w:rPr>
          <w:lang w:val="en-GB"/>
        </w:rPr>
        <w:t xml:space="preserve"> </w:t>
      </w:r>
      <w:proofErr w:type="gramStart"/>
      <w:r w:rsidRPr="00DC0EDA">
        <w:rPr>
          <w:lang w:val="en-GB"/>
        </w:rPr>
        <w:t>So</w:t>
      </w:r>
      <w:proofErr w:type="gramEnd"/>
      <w:r w:rsidRPr="00DC0EDA">
        <w:rPr>
          <w:lang w:val="en-GB"/>
        </w:rPr>
        <w:t xml:space="preserve"> God does not know of Himself what He is because He is not a </w:t>
      </w:r>
      <w:r w:rsidR="00A749F9">
        <w:rPr>
          <w:lang w:val="en-GB"/>
        </w:rPr>
        <w:t>“</w:t>
      </w:r>
      <w:r w:rsidRPr="00DC0EDA">
        <w:rPr>
          <w:lang w:val="en-GB"/>
        </w:rPr>
        <w:t>what</w:t>
      </w:r>
      <w:r w:rsidR="00A749F9">
        <w:rPr>
          <w:lang w:val="en-GB"/>
        </w:rPr>
        <w:t>”</w:t>
      </w:r>
      <w:r w:rsidRPr="00DC0EDA">
        <w:rPr>
          <w:lang w:val="en-GB"/>
        </w:rPr>
        <w:t xml:space="preserve"> (</w:t>
      </w:r>
      <w:r w:rsidRPr="00DC0EDA">
        <w:rPr>
          <w:i/>
          <w:iCs w:val="0"/>
          <w:lang w:val="en-GB"/>
        </w:rPr>
        <w:t>quid</w:t>
      </w:r>
      <w:r w:rsidRPr="00DC0EDA">
        <w:rPr>
          <w:lang w:val="en-GB"/>
        </w:rPr>
        <w:t xml:space="preserve">), being in everything incomprehensible both to Himself and to every intellect. </w:t>
      </w:r>
      <w:r>
        <w:rPr>
          <w:lang w:val="en-GB"/>
        </w:rPr>
        <w:t>[…]</w:t>
      </w:r>
      <w:r w:rsidRPr="00DC0EDA">
        <w:rPr>
          <w:lang w:val="en-GB"/>
        </w:rPr>
        <w:t xml:space="preserve"> He does not recognize himself as being something. </w:t>
      </w:r>
      <w:proofErr w:type="gramStart"/>
      <w:r w:rsidRPr="00DC0EDA">
        <w:rPr>
          <w:lang w:val="en-GB"/>
        </w:rPr>
        <w:t>Therefore</w:t>
      </w:r>
      <w:proofErr w:type="gramEnd"/>
      <w:r w:rsidRPr="00DC0EDA">
        <w:rPr>
          <w:lang w:val="en-GB"/>
        </w:rPr>
        <w:t xml:space="preserve"> He does not know that He is a </w:t>
      </w:r>
      <w:r w:rsidR="00A749F9">
        <w:rPr>
          <w:lang w:val="en-GB"/>
        </w:rPr>
        <w:t>“</w:t>
      </w:r>
      <w:r w:rsidRPr="00DC0EDA">
        <w:rPr>
          <w:lang w:val="en-GB"/>
        </w:rPr>
        <w:t>what</w:t>
      </w:r>
      <w:r w:rsidR="00A749F9">
        <w:rPr>
          <w:lang w:val="en-GB"/>
        </w:rPr>
        <w:t>”</w:t>
      </w:r>
      <w:r w:rsidRPr="00DC0EDA">
        <w:rPr>
          <w:lang w:val="en-GB"/>
        </w:rPr>
        <w:t>, because He recognizes that He is none at all of the things which are known in something, and about which it can be said or understood what they are</w:t>
      </w:r>
      <w:r>
        <w:rPr>
          <w:lang w:val="en-GB"/>
        </w:rPr>
        <w:t>.</w:t>
      </w:r>
      <w:r>
        <w:rPr>
          <w:rStyle w:val="FootnoteReference"/>
          <w:lang w:val="en-GB"/>
        </w:rPr>
        <w:footnoteReference w:id="16"/>
      </w:r>
    </w:p>
    <w:p w14:paraId="2C4213C1" w14:textId="42C0B27A" w:rsidR="00DC0EDA" w:rsidRDefault="00DC0EDA" w:rsidP="00B62C19">
      <w:pPr>
        <w:rPr>
          <w:lang w:val="en-GB"/>
        </w:rPr>
      </w:pPr>
      <w:r>
        <w:rPr>
          <w:lang w:val="en-GB"/>
        </w:rPr>
        <w:t>As</w:t>
      </w:r>
      <w:r w:rsidR="0019560A">
        <w:rPr>
          <w:lang w:val="en-GB"/>
        </w:rPr>
        <w:t xml:space="preserve"> Donald </w:t>
      </w:r>
      <w:proofErr w:type="spellStart"/>
      <w:r w:rsidR="0019560A">
        <w:rPr>
          <w:lang w:val="en-GB"/>
        </w:rPr>
        <w:t>Duclow</w:t>
      </w:r>
      <w:proofErr w:type="spellEnd"/>
      <w:r w:rsidR="0019560A">
        <w:rPr>
          <w:lang w:val="en-GB"/>
        </w:rPr>
        <w:t xml:space="preserve"> explains:</w:t>
      </w:r>
    </w:p>
    <w:p w14:paraId="44E4F912" w14:textId="3BD6BA03" w:rsidR="00DC0EDA" w:rsidRPr="00DC0EDA" w:rsidRDefault="00DC0EDA" w:rsidP="00DC0EDA">
      <w:pPr>
        <w:pStyle w:val="Quote"/>
        <w:rPr>
          <w:lang w:val="en-GB"/>
        </w:rPr>
      </w:pPr>
      <w:r w:rsidRPr="00DC0EDA">
        <w:rPr>
          <w:lang w:val="en-GB"/>
        </w:rPr>
        <w:t>Created being is essentially finite and hence can be defin</w:t>
      </w:r>
      <w:r>
        <w:rPr>
          <w:lang w:val="en-GB"/>
        </w:rPr>
        <w:t>ed</w:t>
      </w:r>
      <w:r w:rsidRPr="00DC0EDA">
        <w:rPr>
          <w:lang w:val="en-GB"/>
        </w:rPr>
        <w:t xml:space="preserve"> according to the</w:t>
      </w:r>
      <w:r>
        <w:rPr>
          <w:lang w:val="en-GB"/>
        </w:rPr>
        <w:t xml:space="preserve"> </w:t>
      </w:r>
      <w:r w:rsidRPr="00DC0EDA">
        <w:rPr>
          <w:lang w:val="en-GB"/>
        </w:rPr>
        <w:t>limits within which it is confined. The unc</w:t>
      </w:r>
      <w:r>
        <w:rPr>
          <w:lang w:val="en-GB"/>
        </w:rPr>
        <w:t>reated,</w:t>
      </w:r>
      <w:r w:rsidRPr="00DC0EDA">
        <w:rPr>
          <w:lang w:val="en-GB"/>
        </w:rPr>
        <w:t xml:space="preserve"> however, pervades and</w:t>
      </w:r>
      <w:r>
        <w:rPr>
          <w:lang w:val="en-GB"/>
        </w:rPr>
        <w:t xml:space="preserve"> </w:t>
      </w:r>
      <w:r w:rsidRPr="00DC0EDA">
        <w:rPr>
          <w:lang w:val="en-GB"/>
        </w:rPr>
        <w:t>transcends all created being in virtue of Transcending all finitude, the</w:t>
      </w:r>
      <w:r>
        <w:rPr>
          <w:lang w:val="en-GB"/>
        </w:rPr>
        <w:t xml:space="preserve"> </w:t>
      </w:r>
      <w:r w:rsidRPr="00DC0EDA">
        <w:rPr>
          <w:lang w:val="en-GB"/>
        </w:rPr>
        <w:t>divine nature cannot be understo</w:t>
      </w:r>
      <w:r w:rsidR="0019560A">
        <w:rPr>
          <w:lang w:val="en-GB"/>
        </w:rPr>
        <w:t>od in its pre</w:t>
      </w:r>
      <w:r w:rsidRPr="00DC0EDA">
        <w:rPr>
          <w:lang w:val="en-GB"/>
        </w:rPr>
        <w:t>cision</w:t>
      </w:r>
      <w:r w:rsidR="0019560A">
        <w:rPr>
          <w:lang w:val="en-GB"/>
        </w:rPr>
        <w:t xml:space="preserve"> – </w:t>
      </w:r>
      <w:r w:rsidRPr="00DC0EDA">
        <w:rPr>
          <w:lang w:val="en-GB"/>
        </w:rPr>
        <w:t>that is, in its infinity</w:t>
      </w:r>
      <w:r w:rsidR="0019560A">
        <w:rPr>
          <w:lang w:val="en-GB"/>
        </w:rPr>
        <w:t xml:space="preserve"> – </w:t>
      </w:r>
      <w:r w:rsidRPr="00DC0EDA">
        <w:rPr>
          <w:lang w:val="en-GB"/>
        </w:rPr>
        <w:t>within the confin</w:t>
      </w:r>
      <w:r w:rsidR="0019560A">
        <w:rPr>
          <w:lang w:val="en-GB"/>
        </w:rPr>
        <w:t>es of finite being.</w:t>
      </w:r>
      <w:r w:rsidR="0019560A">
        <w:rPr>
          <w:rStyle w:val="FootnoteReference"/>
          <w:lang w:val="en-GB"/>
        </w:rPr>
        <w:footnoteReference w:id="17"/>
      </w:r>
    </w:p>
    <w:p w14:paraId="2F3B9596" w14:textId="20E5F61B" w:rsidR="00955AF7" w:rsidRDefault="0019560A" w:rsidP="009B377E">
      <w:pPr>
        <w:rPr>
          <w:lang w:val="en-GB"/>
        </w:rPr>
      </w:pPr>
      <w:r>
        <w:rPr>
          <w:lang w:val="en-GB"/>
        </w:rPr>
        <w:t xml:space="preserve">The gist of the idea here seems to be that an infinite </w:t>
      </w:r>
      <w:r w:rsidR="009F2755">
        <w:rPr>
          <w:lang w:val="en-GB"/>
        </w:rPr>
        <w:t xml:space="preserve">divine </w:t>
      </w:r>
      <w:r w:rsidR="00955AF7">
        <w:rPr>
          <w:lang w:val="en-GB"/>
        </w:rPr>
        <w:t>nature</w:t>
      </w:r>
      <w:r>
        <w:rPr>
          <w:lang w:val="en-GB"/>
        </w:rPr>
        <w:t xml:space="preserve"> must be entirely </w:t>
      </w:r>
      <w:proofErr w:type="gramStart"/>
      <w:r>
        <w:rPr>
          <w:lang w:val="en-GB"/>
        </w:rPr>
        <w:t>indeterminate, since</w:t>
      </w:r>
      <w:proofErr w:type="gramEnd"/>
      <w:r>
        <w:rPr>
          <w:lang w:val="en-GB"/>
        </w:rPr>
        <w:t xml:space="preserve"> any determination would </w:t>
      </w:r>
      <w:r w:rsidR="00955AF7">
        <w:rPr>
          <w:lang w:val="en-GB"/>
        </w:rPr>
        <w:t>involve</w:t>
      </w:r>
      <w:r>
        <w:rPr>
          <w:lang w:val="en-GB"/>
        </w:rPr>
        <w:t xml:space="preserve"> limitation and finitude</w:t>
      </w:r>
      <w:r w:rsidR="00955AF7">
        <w:rPr>
          <w:lang w:val="en-GB"/>
        </w:rPr>
        <w:t xml:space="preserve">. </w:t>
      </w:r>
      <w:r w:rsidR="00C30C1D">
        <w:rPr>
          <w:lang w:val="en-GB"/>
        </w:rPr>
        <w:t>The infinite divine</w:t>
      </w:r>
      <w:r w:rsidR="00955AF7">
        <w:rPr>
          <w:lang w:val="en-GB"/>
        </w:rPr>
        <w:t xml:space="preserve"> nature is therefore </w:t>
      </w:r>
      <w:r w:rsidR="00E53FDC">
        <w:rPr>
          <w:lang w:val="en-GB"/>
        </w:rPr>
        <w:t>beyond knowledge</w:t>
      </w:r>
      <w:r w:rsidR="000363A8">
        <w:rPr>
          <w:lang w:val="en-GB"/>
        </w:rPr>
        <w:t>,</w:t>
      </w:r>
      <w:r w:rsidR="003247D0">
        <w:rPr>
          <w:lang w:val="en-GB"/>
        </w:rPr>
        <w:t xml:space="preserve"> </w:t>
      </w:r>
      <w:r w:rsidR="00955AF7">
        <w:rPr>
          <w:lang w:val="en-GB"/>
        </w:rPr>
        <w:t>and even</w:t>
      </w:r>
      <w:r w:rsidR="00E53FDC">
        <w:rPr>
          <w:lang w:val="en-GB"/>
        </w:rPr>
        <w:t xml:space="preserve"> beyond</w:t>
      </w:r>
      <w:r w:rsidR="00955AF7">
        <w:rPr>
          <w:lang w:val="en-GB"/>
        </w:rPr>
        <w:t xml:space="preserve"> </w:t>
      </w:r>
      <w:r w:rsidR="00955AF7" w:rsidRPr="003247D0">
        <w:rPr>
          <w:i/>
          <w:iCs/>
          <w:lang w:val="en-GB"/>
        </w:rPr>
        <w:t>being</w:t>
      </w:r>
      <w:r w:rsidR="000363A8">
        <w:rPr>
          <w:lang w:val="en-GB"/>
        </w:rPr>
        <w:t xml:space="preserve"> –</w:t>
      </w:r>
      <w:r w:rsidR="003247D0">
        <w:rPr>
          <w:lang w:val="en-GB"/>
        </w:rPr>
        <w:t xml:space="preserve"> </w:t>
      </w:r>
      <w:r w:rsidR="00955AF7">
        <w:rPr>
          <w:lang w:val="en-GB"/>
        </w:rPr>
        <w:t xml:space="preserve">the idea of something that </w:t>
      </w:r>
      <w:r w:rsidR="00E53FDC">
        <w:rPr>
          <w:i/>
          <w:iCs/>
          <w:lang w:val="en-GB"/>
        </w:rPr>
        <w:t>is</w:t>
      </w:r>
      <w:r w:rsidR="00955AF7">
        <w:rPr>
          <w:lang w:val="en-GB"/>
        </w:rPr>
        <w:t xml:space="preserve"> without being anything </w:t>
      </w:r>
      <w:proofErr w:type="gramStart"/>
      <w:r w:rsidR="00955AF7">
        <w:rPr>
          <w:lang w:val="en-GB"/>
        </w:rPr>
        <w:t>in particular is</w:t>
      </w:r>
      <w:proofErr w:type="gramEnd"/>
      <w:r w:rsidR="00955AF7">
        <w:rPr>
          <w:lang w:val="en-GB"/>
        </w:rPr>
        <w:t xml:space="preserve"> difficult to find sensible. This brings us back to the parallel with </w:t>
      </w:r>
      <w:proofErr w:type="gramStart"/>
      <w:r w:rsidR="00955AF7">
        <w:rPr>
          <w:lang w:val="en-GB"/>
        </w:rPr>
        <w:t>Spinoza, since</w:t>
      </w:r>
      <w:proofErr w:type="gramEnd"/>
      <w:r w:rsidR="00955AF7">
        <w:rPr>
          <w:lang w:val="en-GB"/>
        </w:rPr>
        <w:t xml:space="preserve"> he too seems to identify infinity with </w:t>
      </w:r>
      <w:r w:rsidR="00B42B42">
        <w:rPr>
          <w:lang w:val="en-GB"/>
        </w:rPr>
        <w:t>a lack of determinacy</w:t>
      </w:r>
      <w:r w:rsidR="00955AF7">
        <w:rPr>
          <w:lang w:val="en-GB"/>
        </w:rPr>
        <w:t>.</w:t>
      </w:r>
    </w:p>
    <w:p w14:paraId="08A82D3A" w14:textId="7431FE64" w:rsidR="00476EF6" w:rsidRDefault="00955AF7" w:rsidP="009B377E">
      <w:r>
        <w:rPr>
          <w:lang w:val="en-GB"/>
        </w:rPr>
        <w:tab/>
        <w:t>Before examining the relevant texts in Spinoza, it</w:t>
      </w:r>
      <w:r w:rsidR="00764A29">
        <w:rPr>
          <w:lang w:val="en-GB"/>
        </w:rPr>
        <w:t>’</w:t>
      </w:r>
      <w:r>
        <w:rPr>
          <w:lang w:val="en-GB"/>
        </w:rPr>
        <w:t xml:space="preserve">s worth </w:t>
      </w:r>
      <w:r w:rsidR="001D5706">
        <w:rPr>
          <w:lang w:val="en-GB"/>
        </w:rPr>
        <w:t>pointing out</w:t>
      </w:r>
      <w:r>
        <w:rPr>
          <w:lang w:val="en-GB"/>
        </w:rPr>
        <w:t xml:space="preserve"> a</w:t>
      </w:r>
      <w:r w:rsidR="00CB6514">
        <w:rPr>
          <w:lang w:val="en-GB"/>
        </w:rPr>
        <w:t xml:space="preserve">n </w:t>
      </w:r>
      <w:r>
        <w:rPr>
          <w:lang w:val="en-GB"/>
        </w:rPr>
        <w:t xml:space="preserve">awkwardness in </w:t>
      </w:r>
      <w:proofErr w:type="spellStart"/>
      <w:r w:rsidR="00866E86">
        <w:rPr>
          <w:lang w:val="en-GB"/>
        </w:rPr>
        <w:t>Eriugena’s</w:t>
      </w:r>
      <w:proofErr w:type="spellEnd"/>
      <w:r w:rsidR="00866E86">
        <w:rPr>
          <w:lang w:val="en-GB"/>
        </w:rPr>
        <w:t xml:space="preserve"> </w:t>
      </w:r>
      <w:r>
        <w:rPr>
          <w:lang w:val="en-GB"/>
        </w:rPr>
        <w:t>theophan</w:t>
      </w:r>
      <w:r w:rsidR="00CA3E74">
        <w:rPr>
          <w:lang w:val="en-GB"/>
        </w:rPr>
        <w:t>y</w:t>
      </w:r>
      <w:r>
        <w:rPr>
          <w:lang w:val="en-GB"/>
        </w:rPr>
        <w:t>.</w:t>
      </w:r>
      <w:r w:rsidR="00CA3E74">
        <w:rPr>
          <w:rStyle w:val="FootnoteReference"/>
          <w:lang w:val="en-GB"/>
        </w:rPr>
        <w:footnoteReference w:id="18"/>
      </w:r>
      <w:r>
        <w:rPr>
          <w:lang w:val="en-GB"/>
        </w:rPr>
        <w:t xml:space="preserve"> On one hand, </w:t>
      </w:r>
      <w:proofErr w:type="spellStart"/>
      <w:r w:rsidR="0008080E">
        <w:rPr>
          <w:lang w:val="en-GB"/>
        </w:rPr>
        <w:t>Eriugena</w:t>
      </w:r>
      <w:proofErr w:type="spellEnd"/>
      <w:r>
        <w:rPr>
          <w:lang w:val="en-GB"/>
        </w:rPr>
        <w:t xml:space="preserve"> regards </w:t>
      </w:r>
      <w:r w:rsidR="00C30C1D">
        <w:rPr>
          <w:lang w:val="en-GB"/>
        </w:rPr>
        <w:t>the divine nature</w:t>
      </w:r>
      <w:r>
        <w:rPr>
          <w:lang w:val="en-GB"/>
        </w:rPr>
        <w:t xml:space="preserve"> as </w:t>
      </w:r>
      <w:proofErr w:type="gramStart"/>
      <w:r>
        <w:rPr>
          <w:lang w:val="en-GB"/>
        </w:rPr>
        <w:t>absolutely indeterminate</w:t>
      </w:r>
      <w:proofErr w:type="gramEnd"/>
      <w:r>
        <w:rPr>
          <w:lang w:val="en-GB"/>
        </w:rPr>
        <w:t xml:space="preserve"> and therefore beyond being and </w:t>
      </w:r>
      <w:r w:rsidR="00E53FDC">
        <w:rPr>
          <w:lang w:val="en-GB"/>
        </w:rPr>
        <w:t>knowledge</w:t>
      </w:r>
      <w:r>
        <w:rPr>
          <w:lang w:val="en-GB"/>
        </w:rPr>
        <w:t>. On the other hand, as we saw</w:t>
      </w:r>
      <w:r w:rsidR="00E53FDC">
        <w:rPr>
          <w:lang w:val="en-GB"/>
        </w:rPr>
        <w:t xml:space="preserve"> in a quotation above</w:t>
      </w:r>
      <w:r>
        <w:rPr>
          <w:lang w:val="en-GB"/>
        </w:rPr>
        <w:t xml:space="preserve">, he </w:t>
      </w:r>
      <w:r w:rsidR="00CB6514">
        <w:rPr>
          <w:lang w:val="en-GB"/>
        </w:rPr>
        <w:t>views</w:t>
      </w:r>
      <w:r>
        <w:rPr>
          <w:lang w:val="en-GB"/>
        </w:rPr>
        <w:t xml:space="preserve"> </w:t>
      </w:r>
      <w:r w:rsidR="00594898">
        <w:rPr>
          <w:lang w:val="en-GB"/>
        </w:rPr>
        <w:t>creatures</w:t>
      </w:r>
      <w:r>
        <w:rPr>
          <w:lang w:val="en-GB"/>
        </w:rPr>
        <w:t xml:space="preserve"> as </w:t>
      </w:r>
      <w:r w:rsidR="00C30C1D">
        <w:rPr>
          <w:lang w:val="en-GB"/>
        </w:rPr>
        <w:t>the divine nature</w:t>
      </w:r>
      <w:r w:rsidR="00764A29">
        <w:rPr>
          <w:lang w:val="en-GB"/>
        </w:rPr>
        <w:t>’</w:t>
      </w:r>
      <w:r w:rsidR="00C30C1D">
        <w:rPr>
          <w:lang w:val="en-GB"/>
        </w:rPr>
        <w:t>s</w:t>
      </w:r>
      <w:r w:rsidR="00E53FDC">
        <w:rPr>
          <w:lang w:val="en-GB"/>
        </w:rPr>
        <w:t xml:space="preserve"> instruments of self-knowledge: </w:t>
      </w:r>
      <w:r w:rsidR="00A749F9">
        <w:rPr>
          <w:lang w:val="en-GB"/>
        </w:rPr>
        <w:t>“</w:t>
      </w:r>
      <w:r w:rsidR="00E53FDC" w:rsidRPr="00B441F4">
        <w:t xml:space="preserve">descending into the principles of things and, as it were, creating itself, </w:t>
      </w:r>
      <w:r w:rsidR="00C30C1D">
        <w:t>it</w:t>
      </w:r>
      <w:r w:rsidR="00E53FDC" w:rsidRPr="00B441F4">
        <w:t xml:space="preserve"> begins to know itself in something</w:t>
      </w:r>
      <w:r w:rsidR="00A749F9">
        <w:t>”</w:t>
      </w:r>
      <w:r w:rsidR="00E53FDC">
        <w:t xml:space="preserve">. The </w:t>
      </w:r>
      <w:r w:rsidR="00473C98">
        <w:t>d</w:t>
      </w:r>
      <w:r w:rsidR="00E53FDC">
        <w:t xml:space="preserve">ivine </w:t>
      </w:r>
      <w:r w:rsidR="00473C98">
        <w:t>n</w:t>
      </w:r>
      <w:r w:rsidR="00E53FDC">
        <w:t xml:space="preserve">ature </w:t>
      </w:r>
      <w:r w:rsidR="0008080E">
        <w:t xml:space="preserve">can </w:t>
      </w:r>
      <w:r w:rsidR="00E53FDC">
        <w:t xml:space="preserve">know itself in creatures since it is in some </w:t>
      </w:r>
      <w:r w:rsidR="00E53FDC">
        <w:lastRenderedPageBreak/>
        <w:t>sense identical with those creatures</w:t>
      </w:r>
      <w:r w:rsidR="009749C0">
        <w:t>. B</w:t>
      </w:r>
      <w:r w:rsidR="00E53FDC">
        <w:t xml:space="preserve">ut in what sense? The anti-pantheistic passages in the </w:t>
      </w:r>
      <w:proofErr w:type="spellStart"/>
      <w:r w:rsidR="00E53FDC">
        <w:rPr>
          <w:i/>
          <w:iCs/>
        </w:rPr>
        <w:t>Periphyseon</w:t>
      </w:r>
      <w:proofErr w:type="spellEnd"/>
      <w:r w:rsidR="00E53FDC">
        <w:t xml:space="preserve"> are those that distinguish God from creatures on account of </w:t>
      </w:r>
      <w:r w:rsidR="00A749F9">
        <w:t>God’s</w:t>
      </w:r>
      <w:r w:rsidR="003247D0">
        <w:t xml:space="preserve"> transcendence of being</w:t>
      </w:r>
      <w:r w:rsidR="009749C0">
        <w:t>.</w:t>
      </w:r>
      <w:r w:rsidR="00E53FDC">
        <w:t xml:space="preserve"> </w:t>
      </w:r>
      <w:r w:rsidR="0008080E">
        <w:t>Yet h</w:t>
      </w:r>
      <w:r w:rsidR="009749C0">
        <w:t xml:space="preserve">ow can </w:t>
      </w:r>
      <w:proofErr w:type="spellStart"/>
      <w:r w:rsidR="0008080E">
        <w:t>Eriugena</w:t>
      </w:r>
      <w:proofErr w:type="spellEnd"/>
      <w:r w:rsidR="0008080E">
        <w:t xml:space="preserve"> on one hand</w:t>
      </w:r>
      <w:r w:rsidR="009749C0">
        <w:t xml:space="preserve"> reason that in knowing the creatures God knows himself, </w:t>
      </w:r>
      <w:r w:rsidR="0008080E">
        <w:t>while on the other hand refusing to conclude that i</w:t>
      </w:r>
      <w:r w:rsidR="009749C0">
        <w:t xml:space="preserve">f God </w:t>
      </w:r>
      <w:r w:rsidR="0008080E">
        <w:t xml:space="preserve">transcends being and knowledge then the creatures do also, or, contrariwise, that if the creatures do not transcend being and knowledge then God </w:t>
      </w:r>
      <w:r w:rsidR="003247D0">
        <w:t xml:space="preserve">also </w:t>
      </w:r>
      <w:r w:rsidR="0008080E">
        <w:t>does not</w:t>
      </w:r>
      <w:r w:rsidR="009749C0">
        <w:t>?</w:t>
      </w:r>
      <w:r w:rsidR="0008080E">
        <w:t xml:space="preserve"> All seem to follow equally well</w:t>
      </w:r>
      <w:r w:rsidR="003247D0">
        <w:t xml:space="preserve"> </w:t>
      </w:r>
      <w:r w:rsidR="0008080E">
        <w:t xml:space="preserve">from the identity </w:t>
      </w:r>
      <w:r w:rsidR="003C7CF0">
        <w:t>between</w:t>
      </w:r>
      <w:r w:rsidR="0008080E">
        <w:t xml:space="preserve"> God and creatures. </w:t>
      </w:r>
      <w:r w:rsidR="009749C0">
        <w:t xml:space="preserve">When it comes to </w:t>
      </w:r>
      <w:r w:rsidR="0008080E">
        <w:t>that</w:t>
      </w:r>
      <w:r w:rsidR="009749C0">
        <w:t xml:space="preserve"> identity, </w:t>
      </w:r>
      <w:proofErr w:type="spellStart"/>
      <w:r w:rsidR="009749C0">
        <w:t>Eriugena</w:t>
      </w:r>
      <w:proofErr w:type="spellEnd"/>
      <w:r w:rsidR="009749C0">
        <w:t xml:space="preserve"> appears to want to have his cake and eat it too</w:t>
      </w:r>
      <w:r w:rsidR="0008080E">
        <w:t>.</w:t>
      </w:r>
      <w:r w:rsidR="009749C0">
        <w:t xml:space="preserve"> </w:t>
      </w:r>
      <w:r w:rsidR="0008080E">
        <w:t>N</w:t>
      </w:r>
      <w:r w:rsidR="009749C0">
        <w:t xml:space="preserve">o wonder </w:t>
      </w:r>
      <w:r w:rsidR="00476EF6">
        <w:t xml:space="preserve">deciding </w:t>
      </w:r>
      <w:proofErr w:type="gramStart"/>
      <w:r w:rsidR="00476EF6">
        <w:t>whether or not</w:t>
      </w:r>
      <w:proofErr w:type="gramEnd"/>
      <w:r w:rsidR="00476EF6">
        <w:t xml:space="preserve"> he is a</w:t>
      </w:r>
      <w:r w:rsidR="009749C0">
        <w:t xml:space="preserve"> pantheis</w:t>
      </w:r>
      <w:r w:rsidR="00476EF6">
        <w:t>t has</w:t>
      </w:r>
      <w:r w:rsidR="009749C0">
        <w:t xml:space="preserve"> prove</w:t>
      </w:r>
      <w:r w:rsidR="00476EF6">
        <w:t>n</w:t>
      </w:r>
      <w:r w:rsidR="009749C0">
        <w:t xml:space="preserve"> so difficult for scholars</w:t>
      </w:r>
      <w:r w:rsidR="00473C98">
        <w:t>.</w:t>
      </w:r>
      <w:r w:rsidR="00902411">
        <w:t xml:space="preserve"> </w:t>
      </w:r>
    </w:p>
    <w:p w14:paraId="6C63D4DD" w14:textId="2C528931" w:rsidR="000F564C" w:rsidRPr="001870B4" w:rsidRDefault="00476EF6" w:rsidP="000F564C">
      <w:pPr>
        <w:rPr>
          <w:rFonts w:cs="Calibri"/>
        </w:rPr>
      </w:pPr>
      <w:r>
        <w:tab/>
      </w:r>
      <w:r w:rsidR="009749C0">
        <w:t xml:space="preserve"> </w:t>
      </w:r>
      <w:r w:rsidR="0008080E">
        <w:t xml:space="preserve">Turning to Spinoza, </w:t>
      </w:r>
      <w:r w:rsidR="00241908">
        <w:t xml:space="preserve">we find several passages in which he </w:t>
      </w:r>
      <w:r w:rsidR="00473C98">
        <w:t>associates</w:t>
      </w:r>
      <w:r w:rsidR="00241908">
        <w:t xml:space="preserve"> </w:t>
      </w:r>
      <w:r w:rsidR="00B50FE3">
        <w:t>determinacy with finitude</w:t>
      </w:r>
      <w:r w:rsidR="00473C98">
        <w:t>, implying that God</w:t>
      </w:r>
      <w:r w:rsidR="00B50FE3">
        <w:t>, being infinite, must lack determinacy</w:t>
      </w:r>
      <w:r w:rsidR="00241908">
        <w:t>.</w:t>
      </w:r>
      <w:r w:rsidR="0008080E">
        <w:t xml:space="preserve"> </w:t>
      </w:r>
      <w:r w:rsidR="000F564C">
        <w:rPr>
          <w:rFonts w:cs="Calibri"/>
        </w:rPr>
        <w:t>I</w:t>
      </w:r>
      <w:r w:rsidR="000F564C" w:rsidRPr="001870B4">
        <w:rPr>
          <w:rFonts w:cs="Calibri"/>
        </w:rPr>
        <w:t xml:space="preserve">n a letter </w:t>
      </w:r>
      <w:r w:rsidR="000F564C">
        <w:rPr>
          <w:rFonts w:cs="Calibri"/>
        </w:rPr>
        <w:t xml:space="preserve">to </w:t>
      </w:r>
      <w:proofErr w:type="spellStart"/>
      <w:r w:rsidR="000F564C">
        <w:rPr>
          <w:rFonts w:cs="Calibri"/>
        </w:rPr>
        <w:t>Jarig</w:t>
      </w:r>
      <w:proofErr w:type="spellEnd"/>
      <w:r w:rsidR="000F564C">
        <w:rPr>
          <w:rFonts w:cs="Calibri"/>
        </w:rPr>
        <w:t xml:space="preserve"> </w:t>
      </w:r>
      <w:proofErr w:type="spellStart"/>
      <w:r w:rsidR="000F564C">
        <w:rPr>
          <w:rFonts w:cs="Calibri"/>
        </w:rPr>
        <w:t>Jelles</w:t>
      </w:r>
      <w:proofErr w:type="spellEnd"/>
      <w:r w:rsidR="000F564C">
        <w:rPr>
          <w:rFonts w:cs="Calibri"/>
        </w:rPr>
        <w:t xml:space="preserve">, </w:t>
      </w:r>
      <w:r w:rsidR="000F564C" w:rsidRPr="001870B4">
        <w:rPr>
          <w:rFonts w:cs="Calibri"/>
        </w:rPr>
        <w:t xml:space="preserve">Spinoza </w:t>
      </w:r>
      <w:r w:rsidR="000F564C">
        <w:rPr>
          <w:rFonts w:cs="Calibri"/>
        </w:rPr>
        <w:t>begins by discussing shape and ends by saying something about determination in general</w:t>
      </w:r>
      <w:r w:rsidR="000F564C" w:rsidRPr="001870B4">
        <w:rPr>
          <w:rFonts w:cs="Calibri"/>
        </w:rPr>
        <w:t>:</w:t>
      </w:r>
    </w:p>
    <w:p w14:paraId="2AB8D010" w14:textId="3CF9478D" w:rsidR="000F564C" w:rsidRDefault="000F564C" w:rsidP="000F564C">
      <w:pPr>
        <w:pStyle w:val="Quote"/>
      </w:pPr>
      <w:r w:rsidRPr="00B441F4">
        <w:t>shape applies only to finite and determinate bodies. For whoever says that he conceives a shape indicates by this only that he conceives some determinate thing and the way it is determinate. This determination therefore does not pertain to the thing per its being. Rather, it is its non-being. For shape is nothing other than a determination, and determination is negation. It cannot, as they say, be anything but a negation (Ep.50, G3.240).</w:t>
      </w:r>
    </w:p>
    <w:p w14:paraId="2EEAAF59" w14:textId="106CE089" w:rsidR="00902411" w:rsidRDefault="000F564C" w:rsidP="000F564C">
      <w:r>
        <w:rPr>
          <w:rFonts w:cs="Calibri"/>
        </w:rPr>
        <w:t>This suggests</w:t>
      </w:r>
      <w:r w:rsidRPr="001870B4">
        <w:rPr>
          <w:rFonts w:cs="Calibri"/>
        </w:rPr>
        <w:t xml:space="preserve"> that for </w:t>
      </w:r>
      <w:r>
        <w:rPr>
          <w:rFonts w:cs="Calibri"/>
        </w:rPr>
        <w:t>something</w:t>
      </w:r>
      <w:r w:rsidRPr="001870B4">
        <w:rPr>
          <w:rFonts w:cs="Calibri"/>
        </w:rPr>
        <w:t xml:space="preserve"> to exist in any determinate way, it must be negated – that is, it must be</w:t>
      </w:r>
      <w:r>
        <w:rPr>
          <w:rFonts w:cs="Calibri"/>
        </w:rPr>
        <w:t xml:space="preserve"> finite and</w:t>
      </w:r>
      <w:r w:rsidRPr="001870B4">
        <w:rPr>
          <w:rFonts w:cs="Calibri"/>
        </w:rPr>
        <w:t xml:space="preserve"> limited.</w:t>
      </w:r>
      <w:r>
        <w:rPr>
          <w:rFonts w:cs="Calibri"/>
        </w:rPr>
        <w:t xml:space="preserve"> </w:t>
      </w:r>
      <w:r w:rsidR="00B67E01">
        <w:rPr>
          <w:rFonts w:cs="Calibri"/>
        </w:rPr>
        <w:t xml:space="preserve">Yet at the start of the </w:t>
      </w:r>
      <w:r w:rsidR="00B67E01" w:rsidRPr="00B67E01">
        <w:rPr>
          <w:rFonts w:cs="Calibri"/>
          <w:i/>
          <w:iCs/>
        </w:rPr>
        <w:t>Ethics</w:t>
      </w:r>
      <w:r w:rsidR="00B67E01">
        <w:rPr>
          <w:rFonts w:cs="Calibri"/>
        </w:rPr>
        <w:t xml:space="preserve">, </w:t>
      </w:r>
      <w:r w:rsidR="00B67E01" w:rsidRPr="00B67E01">
        <w:rPr>
          <w:rFonts w:cs="Calibri"/>
        </w:rPr>
        <w:t>Spinoza</w:t>
      </w:r>
      <w:r w:rsidR="00B67E01">
        <w:rPr>
          <w:rFonts w:cs="Calibri"/>
        </w:rPr>
        <w:t xml:space="preserve"> defines God as </w:t>
      </w:r>
      <w:proofErr w:type="gramStart"/>
      <w:r w:rsidR="00B67E01">
        <w:rPr>
          <w:rFonts w:cs="Calibri"/>
        </w:rPr>
        <w:t>absolutely infinite</w:t>
      </w:r>
      <w:proofErr w:type="gramEnd"/>
      <w:r w:rsidR="00B67E01">
        <w:rPr>
          <w:rFonts w:cs="Calibri"/>
        </w:rPr>
        <w:t xml:space="preserve"> and goes on to explain that if something is absolutely infinite then </w:t>
      </w:r>
      <w:r w:rsidR="00A749F9">
        <w:rPr>
          <w:rFonts w:cs="Calibri"/>
        </w:rPr>
        <w:t>“</w:t>
      </w:r>
      <w:r w:rsidR="00B67E01" w:rsidRPr="00B441F4">
        <w:rPr>
          <w:lang w:eastAsia="en-GB"/>
        </w:rPr>
        <w:t xml:space="preserve">whatever expresses essence and </w:t>
      </w:r>
      <w:r w:rsidR="00B67E01" w:rsidRPr="00B441F4">
        <w:rPr>
          <w:i/>
          <w:lang w:eastAsia="en-GB"/>
        </w:rPr>
        <w:t>involves no negation</w:t>
      </w:r>
      <w:r w:rsidR="00B67E01" w:rsidRPr="00B441F4">
        <w:rPr>
          <w:lang w:eastAsia="en-GB"/>
        </w:rPr>
        <w:t xml:space="preserve"> pertains to its essence</w:t>
      </w:r>
      <w:r w:rsidR="00A749F9">
        <w:rPr>
          <w:lang w:eastAsia="en-GB"/>
        </w:rPr>
        <w:t>”</w:t>
      </w:r>
      <w:r w:rsidR="00B67E01" w:rsidRPr="00B441F4">
        <w:rPr>
          <w:lang w:eastAsia="en-GB"/>
        </w:rPr>
        <w:t xml:space="preserve"> (</w:t>
      </w:r>
      <w:r w:rsidR="00B67E01">
        <w:rPr>
          <w:iCs/>
          <w:lang w:eastAsia="en-GB"/>
        </w:rPr>
        <w:t>E</w:t>
      </w:r>
      <w:r w:rsidR="00B67E01" w:rsidRPr="00B441F4">
        <w:rPr>
          <w:lang w:eastAsia="en-GB"/>
        </w:rPr>
        <w:t xml:space="preserve"> 1d6expl; my italics)</w:t>
      </w:r>
      <w:r w:rsidR="00B67E01">
        <w:rPr>
          <w:lang w:eastAsia="en-GB"/>
        </w:rPr>
        <w:t>.</w:t>
      </w:r>
      <w:r w:rsidR="003247D0">
        <w:rPr>
          <w:lang w:eastAsia="en-GB"/>
        </w:rPr>
        <w:t xml:space="preserve"> </w:t>
      </w:r>
      <w:r w:rsidR="003247D0">
        <w:rPr>
          <w:rFonts w:cs="Calibri"/>
        </w:rPr>
        <w:t>A</w:t>
      </w:r>
      <w:r w:rsidR="003247D0" w:rsidRPr="001870B4">
        <w:rPr>
          <w:rFonts w:cs="Calibri"/>
        </w:rPr>
        <w:t xml:space="preserve">s </w:t>
      </w:r>
      <w:r w:rsidR="003247D0">
        <w:rPr>
          <w:rFonts w:cs="Calibri"/>
        </w:rPr>
        <w:t xml:space="preserve">Harold </w:t>
      </w:r>
      <w:r w:rsidR="003247D0" w:rsidRPr="001870B4">
        <w:rPr>
          <w:rFonts w:cs="Calibri"/>
        </w:rPr>
        <w:t>Joachim puts it</w:t>
      </w:r>
      <w:r w:rsidR="003247D0">
        <w:rPr>
          <w:rFonts w:cs="Calibri"/>
        </w:rPr>
        <w:t>:</w:t>
      </w:r>
      <w:r w:rsidR="00B67E01">
        <w:rPr>
          <w:lang w:eastAsia="en-GB"/>
        </w:rPr>
        <w:t xml:space="preserve"> </w:t>
      </w:r>
      <w:r w:rsidR="00A749F9">
        <w:rPr>
          <w:rFonts w:cs="Calibri"/>
        </w:rPr>
        <w:t>“</w:t>
      </w:r>
      <w:r w:rsidR="00677F02" w:rsidRPr="001870B4">
        <w:rPr>
          <w:rFonts w:cs="Calibri"/>
        </w:rPr>
        <w:t>God is conceived by [Spinoza] as absolutely positive because absolutely real: as exclud</w:t>
      </w:r>
      <w:r w:rsidR="00677F02">
        <w:rPr>
          <w:rFonts w:cs="Calibri"/>
        </w:rPr>
        <w:t>ing all negation from his being</w:t>
      </w:r>
      <w:r w:rsidR="00A749F9">
        <w:rPr>
          <w:rFonts w:cs="Calibri"/>
        </w:rPr>
        <w:t>”</w:t>
      </w:r>
      <w:r w:rsidR="00677F02" w:rsidRPr="001870B4">
        <w:rPr>
          <w:rFonts w:cs="Calibri"/>
          <w:noProof/>
        </w:rPr>
        <w:t>.</w:t>
      </w:r>
      <w:r w:rsidR="00677F02">
        <w:rPr>
          <w:rStyle w:val="FootnoteReference"/>
          <w:rFonts w:cs="Calibri"/>
          <w:noProof/>
        </w:rPr>
        <w:footnoteReference w:id="19"/>
      </w:r>
      <w:r w:rsidR="00677F02" w:rsidRPr="001870B4">
        <w:rPr>
          <w:rFonts w:cs="Calibri"/>
        </w:rPr>
        <w:t xml:space="preserve"> </w:t>
      </w:r>
      <w:r w:rsidR="00677F02">
        <w:rPr>
          <w:lang w:eastAsia="en-GB"/>
        </w:rPr>
        <w:t xml:space="preserve">This and the fact that determination is negation </w:t>
      </w:r>
      <w:r w:rsidR="00677F02">
        <w:rPr>
          <w:lang w:eastAsia="en-GB"/>
        </w:rPr>
        <w:lastRenderedPageBreak/>
        <w:t xml:space="preserve">suggest strongly, though they do not quite entail, that an </w:t>
      </w:r>
      <w:proofErr w:type="gramStart"/>
      <w:r w:rsidR="00677F02">
        <w:rPr>
          <w:lang w:eastAsia="en-GB"/>
        </w:rPr>
        <w:t>absolutely infinite</w:t>
      </w:r>
      <w:proofErr w:type="gramEnd"/>
      <w:r w:rsidR="00677F02">
        <w:rPr>
          <w:lang w:eastAsia="en-GB"/>
        </w:rPr>
        <w:t xml:space="preserve"> being must </w:t>
      </w:r>
      <w:r w:rsidR="00B50FE3">
        <w:rPr>
          <w:lang w:eastAsia="en-GB"/>
        </w:rPr>
        <w:t>lack determination</w:t>
      </w:r>
      <w:r w:rsidR="00677F02">
        <w:rPr>
          <w:lang w:eastAsia="en-GB"/>
        </w:rPr>
        <w:t xml:space="preserve">. </w:t>
      </w:r>
      <w:r>
        <w:rPr>
          <w:rFonts w:cs="Calibri"/>
        </w:rPr>
        <w:t xml:space="preserve">While some readers have resisted </w:t>
      </w:r>
      <w:r w:rsidR="00B67E01">
        <w:rPr>
          <w:rFonts w:cs="Calibri"/>
        </w:rPr>
        <w:t>this</w:t>
      </w:r>
      <w:r>
        <w:rPr>
          <w:rFonts w:cs="Calibri"/>
        </w:rPr>
        <w:t xml:space="preserve"> conclusion,</w:t>
      </w:r>
      <w:r>
        <w:rPr>
          <w:rStyle w:val="FootnoteReference"/>
          <w:rFonts w:cs="Calibri"/>
        </w:rPr>
        <w:footnoteReference w:id="20"/>
      </w:r>
      <w:r>
        <w:rPr>
          <w:rFonts w:cs="Calibri"/>
        </w:rPr>
        <w:t xml:space="preserve"> </w:t>
      </w:r>
      <w:r w:rsidR="00B67E01">
        <w:rPr>
          <w:rFonts w:cs="Calibri"/>
        </w:rPr>
        <w:t xml:space="preserve">Yitzhak </w:t>
      </w:r>
      <w:r w:rsidRPr="001870B4">
        <w:rPr>
          <w:rFonts w:cs="Calibri"/>
        </w:rPr>
        <w:t>Melamed</w:t>
      </w:r>
      <w:r w:rsidRPr="001870B4">
        <w:rPr>
          <w:rFonts w:cs="Calibri"/>
          <w:lang w:eastAsia="en-GB"/>
        </w:rPr>
        <w:t xml:space="preserve"> </w:t>
      </w:r>
      <w:r w:rsidR="00B67E01">
        <w:rPr>
          <w:rFonts w:cs="Calibri"/>
          <w:lang w:eastAsia="en-GB"/>
        </w:rPr>
        <w:t>points to further textual evidence.</w:t>
      </w:r>
      <w:r w:rsidR="003247D0">
        <w:rPr>
          <w:rStyle w:val="FootnoteReference"/>
          <w:rFonts w:cs="Calibri"/>
          <w:lang w:eastAsia="en-GB"/>
        </w:rPr>
        <w:footnoteReference w:id="21"/>
      </w:r>
      <w:r w:rsidR="00B67E01">
        <w:rPr>
          <w:rFonts w:cs="Calibri"/>
          <w:lang w:eastAsia="en-GB"/>
        </w:rPr>
        <w:t xml:space="preserve"> For instance, </w:t>
      </w:r>
      <w:r w:rsidRPr="001870B4">
        <w:rPr>
          <w:rFonts w:cs="Calibri"/>
          <w:lang w:eastAsia="en-GB"/>
        </w:rPr>
        <w:t>Spinoza writes</w:t>
      </w:r>
      <w:r w:rsidR="00D66B8A">
        <w:rPr>
          <w:rFonts w:cs="Calibri"/>
          <w:lang w:eastAsia="en-GB"/>
        </w:rPr>
        <w:t xml:space="preserve"> (in Latin)</w:t>
      </w:r>
      <w:r w:rsidRPr="001870B4">
        <w:rPr>
          <w:rFonts w:cs="Calibri"/>
          <w:lang w:eastAsia="en-GB"/>
        </w:rPr>
        <w:t xml:space="preserve">: </w:t>
      </w:r>
      <w:r w:rsidR="00A749F9">
        <w:rPr>
          <w:rFonts w:cs="Calibri"/>
        </w:rPr>
        <w:t>“</w:t>
      </w:r>
      <w:proofErr w:type="spellStart"/>
      <w:r w:rsidRPr="00D66B8A">
        <w:rPr>
          <w:rFonts w:cs="Calibri"/>
          <w:i/>
          <w:iCs/>
        </w:rPr>
        <w:t>determinatum</w:t>
      </w:r>
      <w:proofErr w:type="spellEnd"/>
      <w:r w:rsidRPr="00D66B8A">
        <w:rPr>
          <w:rFonts w:cs="Calibri"/>
          <w:i/>
          <w:iCs/>
        </w:rPr>
        <w:t xml:space="preserve"> nihil </w:t>
      </w:r>
      <w:proofErr w:type="spellStart"/>
      <w:r w:rsidRPr="00D66B8A">
        <w:rPr>
          <w:rFonts w:cs="Calibri"/>
          <w:i/>
          <w:iCs/>
        </w:rPr>
        <w:t>positivi</w:t>
      </w:r>
      <w:proofErr w:type="spellEnd"/>
      <w:r w:rsidRPr="00D66B8A">
        <w:rPr>
          <w:rFonts w:cs="Calibri"/>
          <w:i/>
          <w:iCs/>
        </w:rPr>
        <w:t xml:space="preserve">; sed tantum </w:t>
      </w:r>
      <w:proofErr w:type="spellStart"/>
      <w:r w:rsidRPr="00D66B8A">
        <w:rPr>
          <w:rFonts w:cs="Calibri"/>
          <w:i/>
          <w:iCs/>
        </w:rPr>
        <w:t>privationem</w:t>
      </w:r>
      <w:proofErr w:type="spellEnd"/>
      <w:r w:rsidRPr="00D66B8A">
        <w:rPr>
          <w:rFonts w:cs="Calibri"/>
          <w:i/>
          <w:iCs/>
        </w:rPr>
        <w:t xml:space="preserve"> </w:t>
      </w:r>
      <w:proofErr w:type="spellStart"/>
      <w:r w:rsidRPr="00D66B8A">
        <w:rPr>
          <w:rFonts w:cs="Calibri"/>
          <w:i/>
          <w:iCs/>
        </w:rPr>
        <w:t>existentiae</w:t>
      </w:r>
      <w:proofErr w:type="spellEnd"/>
      <w:r w:rsidRPr="00D66B8A">
        <w:rPr>
          <w:rFonts w:cs="Calibri"/>
          <w:i/>
          <w:iCs/>
        </w:rPr>
        <w:t xml:space="preserve"> ejusdem naturae, </w:t>
      </w:r>
      <w:proofErr w:type="spellStart"/>
      <w:r w:rsidRPr="00D66B8A">
        <w:rPr>
          <w:rFonts w:cs="Calibri"/>
          <w:i/>
          <w:iCs/>
        </w:rPr>
        <w:t>quae</w:t>
      </w:r>
      <w:proofErr w:type="spellEnd"/>
      <w:r w:rsidRPr="00D66B8A">
        <w:rPr>
          <w:rFonts w:cs="Calibri"/>
          <w:i/>
          <w:iCs/>
        </w:rPr>
        <w:t xml:space="preserve"> </w:t>
      </w:r>
      <w:proofErr w:type="spellStart"/>
      <w:r w:rsidRPr="00D66B8A">
        <w:rPr>
          <w:rFonts w:cs="Calibri"/>
          <w:i/>
          <w:iCs/>
        </w:rPr>
        <w:t>determinata</w:t>
      </w:r>
      <w:proofErr w:type="spellEnd"/>
      <w:r w:rsidRPr="00D66B8A">
        <w:rPr>
          <w:rFonts w:cs="Calibri"/>
          <w:i/>
          <w:iCs/>
        </w:rPr>
        <w:t xml:space="preserve"> </w:t>
      </w:r>
      <w:proofErr w:type="spellStart"/>
      <w:r w:rsidRPr="00D66B8A">
        <w:rPr>
          <w:rFonts w:cs="Calibri"/>
          <w:i/>
          <w:iCs/>
        </w:rPr>
        <w:t>concipitur</w:t>
      </w:r>
      <w:proofErr w:type="spellEnd"/>
      <w:r w:rsidRPr="00D66B8A">
        <w:rPr>
          <w:rFonts w:cs="Calibri"/>
          <w:i/>
          <w:iCs/>
        </w:rPr>
        <w:t xml:space="preserve">, </w:t>
      </w:r>
      <w:proofErr w:type="spellStart"/>
      <w:r w:rsidRPr="00D66B8A">
        <w:rPr>
          <w:rFonts w:cs="Calibri"/>
          <w:i/>
          <w:iCs/>
        </w:rPr>
        <w:t>denotat</w:t>
      </w:r>
      <w:proofErr w:type="spellEnd"/>
      <w:r w:rsidR="00A749F9">
        <w:rPr>
          <w:rFonts w:cs="Calibri"/>
        </w:rPr>
        <w:t>”</w:t>
      </w:r>
      <w:r w:rsidRPr="001870B4">
        <w:rPr>
          <w:rFonts w:cs="Calibri"/>
        </w:rPr>
        <w:t xml:space="preserve">, which </w:t>
      </w:r>
      <w:r>
        <w:rPr>
          <w:rFonts w:cs="Calibri"/>
        </w:rPr>
        <w:t>Melamed</w:t>
      </w:r>
      <w:r w:rsidRPr="001870B4">
        <w:rPr>
          <w:rFonts w:cs="Calibri"/>
        </w:rPr>
        <w:t xml:space="preserve"> translates as:</w:t>
      </w:r>
      <w:r>
        <w:rPr>
          <w:rFonts w:cs="Calibri"/>
        </w:rPr>
        <w:t xml:space="preserve"> </w:t>
      </w:r>
      <w:r w:rsidR="00A749F9">
        <w:rPr>
          <w:rFonts w:cs="Calibri"/>
        </w:rPr>
        <w:t>“</w:t>
      </w:r>
      <w:r w:rsidR="00764A29">
        <w:rPr>
          <w:rFonts w:cs="Calibri"/>
        </w:rPr>
        <w:t>‘</w:t>
      </w:r>
      <w:r w:rsidRPr="001870B4">
        <w:rPr>
          <w:rFonts w:cs="Calibri"/>
        </w:rPr>
        <w:t>determinate</w:t>
      </w:r>
      <w:r w:rsidR="00764A29">
        <w:rPr>
          <w:rFonts w:cs="Calibri"/>
        </w:rPr>
        <w:t>’</w:t>
      </w:r>
      <w:r w:rsidRPr="001870B4">
        <w:rPr>
          <w:rFonts w:cs="Calibri"/>
        </w:rPr>
        <w:t xml:space="preserve"> denotes nothing positive, but only the privation of existence of that same nature wh</w:t>
      </w:r>
      <w:r>
        <w:rPr>
          <w:rFonts w:cs="Calibri"/>
        </w:rPr>
        <w:t>ich is conceived as determinate</w:t>
      </w:r>
      <w:r w:rsidR="00A749F9">
        <w:rPr>
          <w:rFonts w:cs="Calibri"/>
        </w:rPr>
        <w:t>”</w:t>
      </w:r>
      <w:r w:rsidRPr="001870B4">
        <w:rPr>
          <w:rFonts w:cs="Calibri"/>
        </w:rPr>
        <w:t>.</w:t>
      </w:r>
      <w:r w:rsidRPr="001870B4">
        <w:rPr>
          <w:rStyle w:val="FootnoteReference"/>
          <w:rFonts w:cs="Calibri"/>
        </w:rPr>
        <w:footnoteReference w:id="22"/>
      </w:r>
      <w:r w:rsidRPr="001870B4">
        <w:rPr>
          <w:rFonts w:cs="Calibri"/>
        </w:rPr>
        <w:t xml:space="preserve"> </w:t>
      </w:r>
      <w:r>
        <w:rPr>
          <w:rFonts w:cs="Calibri"/>
        </w:rPr>
        <w:t xml:space="preserve">Moreover, Spinoza claims in the </w:t>
      </w:r>
      <w:r>
        <w:rPr>
          <w:rFonts w:cs="Calibri"/>
          <w:i/>
        </w:rPr>
        <w:t xml:space="preserve">Ethics </w:t>
      </w:r>
      <w:r>
        <w:rPr>
          <w:rFonts w:cs="Calibri"/>
        </w:rPr>
        <w:t xml:space="preserve">that </w:t>
      </w:r>
      <w:r w:rsidR="00A749F9">
        <w:rPr>
          <w:rFonts w:cs="Calibri"/>
        </w:rPr>
        <w:t>“</w:t>
      </w:r>
      <w:r>
        <w:rPr>
          <w:rFonts w:cs="Calibri"/>
        </w:rPr>
        <w:t>being finite is really, in part, a negation, and being infinite is an absolute affirmation of the existence of some nature</w:t>
      </w:r>
      <w:r w:rsidR="00A749F9">
        <w:rPr>
          <w:rFonts w:cs="Calibri"/>
        </w:rPr>
        <w:t>”</w:t>
      </w:r>
      <w:r>
        <w:rPr>
          <w:rFonts w:cs="Calibri"/>
        </w:rPr>
        <w:t xml:space="preserve"> (E 1p8s1). Here it is </w:t>
      </w:r>
      <w:r w:rsidRPr="00662AD2">
        <w:rPr>
          <w:rFonts w:cs="Calibri"/>
        </w:rPr>
        <w:t>finitude</w:t>
      </w:r>
      <w:r>
        <w:rPr>
          <w:rFonts w:cs="Calibri"/>
        </w:rPr>
        <w:t xml:space="preserve"> rather than </w:t>
      </w:r>
      <w:r w:rsidR="00B50FE3">
        <w:rPr>
          <w:rFonts w:cs="Calibri"/>
        </w:rPr>
        <w:t>determinacy</w:t>
      </w:r>
      <w:r w:rsidR="00677F02">
        <w:rPr>
          <w:rFonts w:cs="Calibri"/>
        </w:rPr>
        <w:t xml:space="preserve"> that is</w:t>
      </w:r>
      <w:r>
        <w:rPr>
          <w:rFonts w:cs="Calibri"/>
        </w:rPr>
        <w:t xml:space="preserve"> identified with negation. But since this is contrasted with </w:t>
      </w:r>
      <w:r w:rsidR="00A749F9">
        <w:rPr>
          <w:rFonts w:cs="Calibri"/>
        </w:rPr>
        <w:t>“</w:t>
      </w:r>
      <w:r>
        <w:rPr>
          <w:rFonts w:cs="Calibri"/>
        </w:rPr>
        <w:t>absolute affirmation</w:t>
      </w:r>
      <w:r w:rsidR="00A749F9">
        <w:rPr>
          <w:rFonts w:cs="Calibri"/>
        </w:rPr>
        <w:t>”</w:t>
      </w:r>
      <w:r>
        <w:rPr>
          <w:rFonts w:cs="Calibri"/>
        </w:rPr>
        <w:t>, we could read the passage as another reference to the principle that determination is negation.</w:t>
      </w:r>
      <w:r w:rsidR="00D66B8A">
        <w:rPr>
          <w:rFonts w:cs="Calibri"/>
        </w:rPr>
        <w:t xml:space="preserve"> And in another </w:t>
      </w:r>
      <w:proofErr w:type="gramStart"/>
      <w:r w:rsidR="00D66B8A">
        <w:rPr>
          <w:rFonts w:cs="Calibri"/>
        </w:rPr>
        <w:t>letter</w:t>
      </w:r>
      <w:proofErr w:type="gramEnd"/>
      <w:r w:rsidR="00677F02">
        <w:rPr>
          <w:rFonts w:cs="Calibri"/>
        </w:rPr>
        <w:t xml:space="preserve"> </w:t>
      </w:r>
      <w:r w:rsidR="00D66B8A">
        <w:rPr>
          <w:rFonts w:cs="Calibri"/>
        </w:rPr>
        <w:t>we find</w:t>
      </w:r>
      <w:r w:rsidR="00677F02">
        <w:rPr>
          <w:rFonts w:cs="Calibri"/>
        </w:rPr>
        <w:t xml:space="preserve"> Spinoza stating</w:t>
      </w:r>
      <w:r w:rsidR="00D66B8A">
        <w:rPr>
          <w:rFonts w:cs="Calibri"/>
        </w:rPr>
        <w:t>:</w:t>
      </w:r>
      <w:r w:rsidR="00D66B8A">
        <w:t xml:space="preserve"> </w:t>
      </w:r>
      <w:r w:rsidR="00A749F9">
        <w:t>“</w:t>
      </w:r>
      <w:r w:rsidR="00D66B8A" w:rsidRPr="00B441F4">
        <w:t>the nature of God does not consist in one kind of being, but rather in Being, which is absolutely indeterminate</w:t>
      </w:r>
      <w:r w:rsidR="00A749F9">
        <w:t>”</w:t>
      </w:r>
      <w:r w:rsidR="00D66B8A" w:rsidRPr="00B441F4">
        <w:t xml:space="preserve"> (Ep.36, G4.185)</w:t>
      </w:r>
      <w:r w:rsidR="00D66B8A">
        <w:t xml:space="preserve">. </w:t>
      </w:r>
      <w:r w:rsidR="00A766A3">
        <w:t xml:space="preserve">The final word here is </w:t>
      </w:r>
      <w:r w:rsidR="00A749F9">
        <w:t>“</w:t>
      </w:r>
      <w:proofErr w:type="spellStart"/>
      <w:r w:rsidR="00A766A3">
        <w:rPr>
          <w:i/>
          <w:iCs/>
        </w:rPr>
        <w:t>indeterminatum</w:t>
      </w:r>
      <w:proofErr w:type="spellEnd"/>
      <w:r w:rsidR="00A749F9">
        <w:t>”</w:t>
      </w:r>
      <w:r w:rsidR="00A766A3">
        <w:t xml:space="preserve"> in the Latin version of the letter and </w:t>
      </w:r>
      <w:r w:rsidR="00A749F9">
        <w:t>“</w:t>
      </w:r>
      <w:proofErr w:type="spellStart"/>
      <w:r w:rsidR="00A766A3">
        <w:rPr>
          <w:i/>
          <w:iCs/>
        </w:rPr>
        <w:t>oneindig</w:t>
      </w:r>
      <w:proofErr w:type="spellEnd"/>
      <w:r w:rsidR="00A749F9">
        <w:t>”</w:t>
      </w:r>
      <w:r w:rsidR="00A766A3">
        <w:t xml:space="preserve"> in the Dutch version (most likely a translation). </w:t>
      </w:r>
      <w:r w:rsidR="00776879">
        <w:t xml:space="preserve">Edwin </w:t>
      </w:r>
      <w:r w:rsidR="00A766A3">
        <w:t xml:space="preserve">Curley translates it as </w:t>
      </w:r>
      <w:r w:rsidR="00A749F9">
        <w:t>“</w:t>
      </w:r>
      <w:r w:rsidR="00A766A3">
        <w:t>unlimited</w:t>
      </w:r>
      <w:r w:rsidR="00A749F9">
        <w:t>”</w:t>
      </w:r>
      <w:r w:rsidR="00A766A3">
        <w:t>, which matches the Dutch version better.</w:t>
      </w:r>
      <w:r w:rsidR="00A766A3" w:rsidRPr="005F3607">
        <w:rPr>
          <w:rStyle w:val="FootnoteReference"/>
        </w:rPr>
        <w:footnoteReference w:id="23"/>
      </w:r>
      <w:r w:rsidR="00A766A3">
        <w:t xml:space="preserve"> As we shall see, there is a good reason for this – the idea of an </w:t>
      </w:r>
      <w:r w:rsidR="00A766A3">
        <w:rPr>
          <w:i/>
          <w:iCs/>
        </w:rPr>
        <w:t xml:space="preserve">indeterminate </w:t>
      </w:r>
      <w:r w:rsidR="00A766A3">
        <w:t>God would be problematic for Spinoza in several ways. But Melamed is right that t</w:t>
      </w:r>
      <w:r w:rsidR="00D66B8A">
        <w:t>he balance of textual evidence</w:t>
      </w:r>
      <w:r w:rsidR="00A766A3">
        <w:t xml:space="preserve"> does seem</w:t>
      </w:r>
      <w:r w:rsidR="00D66B8A">
        <w:t xml:space="preserve"> to imply</w:t>
      </w:r>
      <w:r w:rsidR="00A766A3">
        <w:t xml:space="preserve"> that </w:t>
      </w:r>
      <w:r w:rsidR="00A749F9">
        <w:t>God’s</w:t>
      </w:r>
      <w:r w:rsidR="00A766A3">
        <w:t xml:space="preserve"> infinity entails</w:t>
      </w:r>
      <w:r w:rsidR="00D66B8A">
        <w:t xml:space="preserve"> </w:t>
      </w:r>
      <w:r w:rsidR="00DC26CC">
        <w:t xml:space="preserve">a lack of </w:t>
      </w:r>
      <w:r w:rsidR="00D66B8A">
        <w:t xml:space="preserve">determinacy, for Spinoza no less than for </w:t>
      </w:r>
      <w:proofErr w:type="spellStart"/>
      <w:r w:rsidR="00D66B8A">
        <w:t>Eriugena</w:t>
      </w:r>
      <w:proofErr w:type="spellEnd"/>
      <w:r w:rsidR="00D66B8A">
        <w:t>.</w:t>
      </w:r>
      <w:r w:rsidR="00902411">
        <w:t xml:space="preserve"> </w:t>
      </w:r>
      <w:r w:rsidR="00D66B8A">
        <w:t xml:space="preserve">This raises </w:t>
      </w:r>
      <w:r w:rsidR="007A40FD">
        <w:t xml:space="preserve">two </w:t>
      </w:r>
      <w:r w:rsidR="00D66B8A">
        <w:t xml:space="preserve">questions. </w:t>
      </w:r>
    </w:p>
    <w:p w14:paraId="55A8A78B" w14:textId="28C43864" w:rsidR="00B8176A" w:rsidRDefault="00D66B8A" w:rsidP="00902411">
      <w:pPr>
        <w:ind w:firstLine="720"/>
      </w:pPr>
      <w:r>
        <w:lastRenderedPageBreak/>
        <w:t xml:space="preserve">First, we can ask how Spinoza </w:t>
      </w:r>
      <w:r w:rsidR="00473C98">
        <w:t>could</w:t>
      </w:r>
      <w:r w:rsidR="00E9188C">
        <w:t xml:space="preserve"> in this case</w:t>
      </w:r>
      <w:r>
        <w:t xml:space="preserve"> regard God as existing in himself and being conceived through himself. </w:t>
      </w:r>
      <w:r w:rsidR="00615DC5">
        <w:t xml:space="preserve">Spinoza </w:t>
      </w:r>
      <w:r>
        <w:t xml:space="preserve">rules out </w:t>
      </w:r>
      <w:proofErr w:type="spellStart"/>
      <w:r w:rsidR="00866E86">
        <w:t>Eriugena’s</w:t>
      </w:r>
      <w:proofErr w:type="spellEnd"/>
      <w:r w:rsidR="00866E86">
        <w:t xml:space="preserve"> </w:t>
      </w:r>
      <w:r w:rsidR="00B8176A">
        <w:t>scheme</w:t>
      </w:r>
      <w:r>
        <w:t xml:space="preserve"> (problematic though it is)</w:t>
      </w:r>
      <w:r w:rsidR="00B8176A">
        <w:t>,</w:t>
      </w:r>
      <w:r>
        <w:t xml:space="preserve"> </w:t>
      </w:r>
      <w:r w:rsidR="00E9188C">
        <w:t>in which</w:t>
      </w:r>
      <w:r>
        <w:t xml:space="preserve"> the indeterminate </w:t>
      </w:r>
      <w:r w:rsidR="00B8176A">
        <w:t>nature</w:t>
      </w:r>
      <w:r w:rsidR="00D54D0D">
        <w:t xml:space="preserve"> only</w:t>
      </w:r>
      <w:r>
        <w:t xml:space="preserve"> exist</w:t>
      </w:r>
      <w:r w:rsidR="006F1C18">
        <w:t>s</w:t>
      </w:r>
      <w:r>
        <w:t xml:space="preserve"> and </w:t>
      </w:r>
      <w:r w:rsidR="006F1C18">
        <w:t>is</w:t>
      </w:r>
      <w:r>
        <w:t xml:space="preserve"> conceived through the determinate things it causes</w:t>
      </w:r>
      <w:r w:rsidR="00B8176A">
        <w:t xml:space="preserve">. </w:t>
      </w:r>
      <w:r w:rsidR="00615DC5">
        <w:t>But then, if God</w:t>
      </w:r>
      <w:r w:rsidR="00501E7F">
        <w:t xml:space="preserve"> lacks determinacy</w:t>
      </w:r>
      <w:r w:rsidR="00615DC5">
        <w:t>,</w:t>
      </w:r>
      <w:r w:rsidR="00E9188C">
        <w:t xml:space="preserve"> </w:t>
      </w:r>
      <w:r w:rsidR="007A38BC">
        <w:t>Spinoza</w:t>
      </w:r>
      <w:r w:rsidR="00E9188C">
        <w:t xml:space="preserve"> </w:t>
      </w:r>
      <w:r w:rsidR="00615DC5">
        <w:t xml:space="preserve">must explain </w:t>
      </w:r>
      <w:r w:rsidR="00E9188C">
        <w:t xml:space="preserve">how something </w:t>
      </w:r>
      <w:r w:rsidR="00677F02">
        <w:t>can be or be conceived</w:t>
      </w:r>
      <w:r w:rsidR="007A38BC">
        <w:t xml:space="preserve"> </w:t>
      </w:r>
      <w:r w:rsidR="00615DC5">
        <w:t>through itself</w:t>
      </w:r>
      <w:r w:rsidR="00501E7F">
        <w:t xml:space="preserve"> without being anything determinate</w:t>
      </w:r>
      <w:r w:rsidR="00615DC5">
        <w:t>. This leads to problems we will examine.</w:t>
      </w:r>
    </w:p>
    <w:p w14:paraId="375C6D09" w14:textId="674DE750" w:rsidR="007F70A7" w:rsidRDefault="00677F02" w:rsidP="007F70A7">
      <w:pPr>
        <w:ind w:firstLine="720"/>
      </w:pPr>
      <w:r>
        <w:t xml:space="preserve">Second, we can ask </w:t>
      </w:r>
      <w:r w:rsidRPr="00B8176A">
        <w:t>why</w:t>
      </w:r>
      <w:r>
        <w:t xml:space="preserve"> </w:t>
      </w:r>
      <w:r w:rsidR="00B8176A">
        <w:t xml:space="preserve">the nature of </w:t>
      </w:r>
      <w:r w:rsidR="00A749F9">
        <w:t xml:space="preserve">Spinoza’s </w:t>
      </w:r>
      <w:r w:rsidR="00B8176A">
        <w:t>God</w:t>
      </w:r>
      <w:r>
        <w:t xml:space="preserve"> gives rise to </w:t>
      </w:r>
      <w:r w:rsidR="00B8176A">
        <w:t>determinate things at all</w:t>
      </w:r>
      <w:r>
        <w:t xml:space="preserve">. In the theophanic tradition, </w:t>
      </w:r>
      <w:r w:rsidR="00615DC5">
        <w:t xml:space="preserve">God </w:t>
      </w:r>
      <w:r w:rsidR="00CF4F2D">
        <w:t>creates</w:t>
      </w:r>
      <w:r w:rsidR="00615DC5">
        <w:t xml:space="preserve"> creatures</w:t>
      </w:r>
      <w:r w:rsidR="00CF4F2D">
        <w:t xml:space="preserve"> </w:t>
      </w:r>
      <w:proofErr w:type="gramStart"/>
      <w:r w:rsidR="00CF4F2D">
        <w:t>in order</w:t>
      </w:r>
      <w:r w:rsidR="00615DC5">
        <w:t xml:space="preserve"> to</w:t>
      </w:r>
      <w:proofErr w:type="gramEnd"/>
      <w:r w:rsidR="00615DC5">
        <w:t xml:space="preserve"> serve as</w:t>
      </w:r>
      <w:r>
        <w:t xml:space="preserve"> </w:t>
      </w:r>
      <w:r w:rsidR="00B8176A">
        <w:t>vehicles of</w:t>
      </w:r>
      <w:r>
        <w:t xml:space="preserve"> </w:t>
      </w:r>
      <w:r w:rsidR="00615DC5">
        <w:t>his</w:t>
      </w:r>
      <w:r>
        <w:t xml:space="preserve"> self-comprehension</w:t>
      </w:r>
      <w:r w:rsidR="00B8176A">
        <w:t xml:space="preserve">. Discussing the Neoplatonic theory of emanation, Harry Wolfson writes: </w:t>
      </w:r>
      <w:r w:rsidR="00A749F9">
        <w:t>“</w:t>
      </w:r>
      <w:r w:rsidR="00B8176A" w:rsidRPr="00B441F4">
        <w:t>The theory of emanation maintains that the entire universe with all its manifold finite beings is the unfolding of the infinite divine nature, the product of its thinking</w:t>
      </w:r>
      <w:r w:rsidR="00B8176A">
        <w:t>.</w:t>
      </w:r>
      <w:r w:rsidR="00A749F9">
        <w:t>”</w:t>
      </w:r>
      <w:r w:rsidR="00B8176A" w:rsidRPr="005F3607">
        <w:rPr>
          <w:rStyle w:val="FootnoteReference"/>
        </w:rPr>
        <w:footnoteReference w:id="24"/>
      </w:r>
      <w:r w:rsidR="00B8176A">
        <w:t xml:space="preserve"> We have seen a specific version of this in </w:t>
      </w:r>
      <w:proofErr w:type="spellStart"/>
      <w:r w:rsidR="00B8176A">
        <w:t>Eriugena</w:t>
      </w:r>
      <w:proofErr w:type="spellEnd"/>
      <w:r w:rsidR="00B8176A">
        <w:t xml:space="preserve">: </w:t>
      </w:r>
      <w:r w:rsidR="00FD1715">
        <w:t xml:space="preserve">having no determinate being of his own, </w:t>
      </w:r>
      <w:r w:rsidR="00A83B78">
        <w:t xml:space="preserve">and wanting to know himself, </w:t>
      </w:r>
      <w:r w:rsidR="00FD1715">
        <w:t xml:space="preserve">God must create himself as </w:t>
      </w:r>
      <w:r w:rsidR="00A83B78">
        <w:t xml:space="preserve">determinate </w:t>
      </w:r>
      <w:r w:rsidR="00FD1715">
        <w:t>things</w:t>
      </w:r>
      <w:r w:rsidR="00B8176A">
        <w:t xml:space="preserve"> </w:t>
      </w:r>
      <w:r w:rsidR="00A83B78">
        <w:t>and</w:t>
      </w:r>
      <w:r w:rsidR="00B8176A">
        <w:t xml:space="preserve"> know himself through them. This explanation </w:t>
      </w:r>
      <w:r w:rsidR="00FD1715">
        <w:t>isn</w:t>
      </w:r>
      <w:r w:rsidR="006970F5">
        <w:t>’</w:t>
      </w:r>
      <w:r w:rsidR="00FD1715">
        <w:t>t available to</w:t>
      </w:r>
      <w:r w:rsidR="00B8176A">
        <w:t xml:space="preserve"> Spinoza, who holds that God is conceived </w:t>
      </w:r>
      <w:r w:rsidR="00B8176A" w:rsidRPr="00B8176A">
        <w:t>through himself</w:t>
      </w:r>
      <w:r w:rsidR="00B8176A">
        <w:t>, not through determinate things</w:t>
      </w:r>
      <w:r w:rsidR="00B8176A" w:rsidRPr="00B8176A">
        <w:t>.</w:t>
      </w:r>
      <w:r w:rsidR="00B8176A">
        <w:rPr>
          <w:i/>
          <w:iCs/>
        </w:rPr>
        <w:t xml:space="preserve"> </w:t>
      </w:r>
      <w:r w:rsidR="00EE291D">
        <w:t>Moreover,</w:t>
      </w:r>
      <w:r w:rsidR="00B8176A">
        <w:t xml:space="preserve"> </w:t>
      </w:r>
      <w:r w:rsidR="00F25BBE">
        <w:t>one</w:t>
      </w:r>
      <w:r w:rsidR="00B8176A">
        <w:t xml:space="preserve"> standard Neoplatonic </w:t>
      </w:r>
      <w:r w:rsidR="00EE291D">
        <w:t>explanation of the emanation of creatures from the divine nature appeals</w:t>
      </w:r>
      <w:r w:rsidR="00B8176A">
        <w:t xml:space="preserve"> to </w:t>
      </w:r>
      <w:r w:rsidR="00B8176A">
        <w:rPr>
          <w:i/>
          <w:iCs/>
        </w:rPr>
        <w:t>volition</w:t>
      </w:r>
      <w:r w:rsidR="00EE291D">
        <w:t xml:space="preserve">: God freely wills to engage in his </w:t>
      </w:r>
      <w:r w:rsidR="00CF4F2D">
        <w:t xml:space="preserve">cognitive </w:t>
      </w:r>
      <w:r w:rsidR="00EE291D">
        <w:t>activity</w:t>
      </w:r>
      <w:r w:rsidR="00B8176A">
        <w:t xml:space="preserve">. </w:t>
      </w:r>
      <w:proofErr w:type="spellStart"/>
      <w:r w:rsidR="00B8176A">
        <w:t>Eriugena</w:t>
      </w:r>
      <w:proofErr w:type="spellEnd"/>
      <w:r w:rsidR="00B8176A">
        <w:t xml:space="preserve"> states, as we saw, that the divine nature is </w:t>
      </w:r>
      <w:r w:rsidR="00A749F9">
        <w:t>“</w:t>
      </w:r>
      <w:r w:rsidR="00B8176A" w:rsidRPr="00A83B78">
        <w:t>willing</w:t>
      </w:r>
      <w:r w:rsidR="00B8176A" w:rsidRPr="00B441F4">
        <w:t xml:space="preserve"> to emerge from the most hidden recesses of its nature in which it is unknown even to itself</w:t>
      </w:r>
      <w:r w:rsidR="00A749F9">
        <w:t>”</w:t>
      </w:r>
      <w:r w:rsidR="00A83B78">
        <w:t xml:space="preserve">, </w:t>
      </w:r>
      <w:r w:rsidR="00B8176A">
        <w:t xml:space="preserve">while Wolfson reports that in Neoplatonism generally </w:t>
      </w:r>
      <w:r w:rsidR="00A749F9">
        <w:t>“</w:t>
      </w:r>
      <w:r w:rsidR="00B8176A" w:rsidRPr="00B441F4">
        <w:t xml:space="preserve">the emanative cause of the universe does not act by necessity but by </w:t>
      </w:r>
      <w:r w:rsidR="00B8176A" w:rsidRPr="00B8176A">
        <w:t>volition</w:t>
      </w:r>
      <w:r w:rsidR="00A749F9">
        <w:t>”</w:t>
      </w:r>
      <w:r w:rsidR="00B8176A" w:rsidRPr="00B441F4">
        <w:t>.</w:t>
      </w:r>
      <w:r w:rsidR="00B8176A" w:rsidRPr="005F3607">
        <w:rPr>
          <w:rStyle w:val="FootnoteReference"/>
        </w:rPr>
        <w:footnoteReference w:id="25"/>
      </w:r>
      <w:r w:rsidR="00EE291D">
        <w:t xml:space="preserve"> Spinoza, however, believes that</w:t>
      </w:r>
      <w:r w:rsidR="00EE291D" w:rsidRPr="00B441F4">
        <w:t xml:space="preserve"> the </w:t>
      </w:r>
      <w:r w:rsidR="001449DB">
        <w:t xml:space="preserve">very </w:t>
      </w:r>
      <w:r w:rsidR="00EE291D" w:rsidRPr="00B441F4">
        <w:t>idea of</w:t>
      </w:r>
      <w:r w:rsidR="00EE291D">
        <w:t xml:space="preserve"> divine volition</w:t>
      </w:r>
      <w:r w:rsidR="00EE291D" w:rsidRPr="00B441F4">
        <w:t xml:space="preserve"> is inconsistent with </w:t>
      </w:r>
      <w:r w:rsidR="00FD1715">
        <w:t>divine</w:t>
      </w:r>
      <w:r w:rsidR="00EE291D" w:rsidRPr="00B441F4">
        <w:t xml:space="preserve"> perfection (O4.15</w:t>
      </w:r>
      <w:r w:rsidR="00EE291D">
        <w:t>4</w:t>
      </w:r>
      <w:r w:rsidR="00EE291D" w:rsidRPr="00B441F4">
        <w:t>; G3.80).</w:t>
      </w:r>
      <w:r w:rsidR="00EE291D">
        <w:t xml:space="preserve"> In the Appendix to Part 1 of the </w:t>
      </w:r>
      <w:r w:rsidR="00EE291D">
        <w:rPr>
          <w:i/>
          <w:iCs/>
        </w:rPr>
        <w:t>Ethics</w:t>
      </w:r>
      <w:r w:rsidR="00EE291D">
        <w:t xml:space="preserve"> he writes: </w:t>
      </w:r>
      <w:r w:rsidR="00A749F9">
        <w:t>“</w:t>
      </w:r>
      <w:r w:rsidR="00EE291D" w:rsidRPr="00B441F4">
        <w:t>God is and acts only from the necessity of his nature</w:t>
      </w:r>
      <w:r w:rsidR="00A749F9">
        <w:t>”</w:t>
      </w:r>
      <w:r w:rsidR="00EE291D" w:rsidRPr="00B441F4">
        <w:t xml:space="preserve"> and</w:t>
      </w:r>
      <w:r w:rsidR="00EE291D">
        <w:t>:</w:t>
      </w:r>
      <w:r w:rsidR="00EE291D" w:rsidRPr="00B441F4">
        <w:t xml:space="preserve"> </w:t>
      </w:r>
      <w:r w:rsidR="00A749F9">
        <w:t>“</w:t>
      </w:r>
      <w:r w:rsidR="00EE291D" w:rsidRPr="00B441F4">
        <w:t xml:space="preserve">all things have been predetermined by God, </w:t>
      </w:r>
      <w:r w:rsidR="00EE291D" w:rsidRPr="00EE291D">
        <w:t>not, certainly, from the liberty of his volition</w:t>
      </w:r>
      <w:r w:rsidR="00EE291D" w:rsidRPr="00455ABC">
        <w:t xml:space="preserve"> </w:t>
      </w:r>
      <w:r w:rsidR="00EE291D" w:rsidRPr="00B441F4">
        <w:t xml:space="preserve">or </w:t>
      </w:r>
      <w:r w:rsidR="00EE291D" w:rsidRPr="00B441F4">
        <w:lastRenderedPageBreak/>
        <w:t xml:space="preserve">absolute good pleasure, but from the </w:t>
      </w:r>
      <w:r w:rsidR="00EE291D" w:rsidRPr="00EE291D">
        <w:t>absolute nature</w:t>
      </w:r>
      <w:r w:rsidR="00EE291D" w:rsidRPr="00B441F4">
        <w:t xml:space="preserve"> of God or infinite power</w:t>
      </w:r>
      <w:r w:rsidR="00A749F9">
        <w:t>”</w:t>
      </w:r>
      <w:r w:rsidR="00EE291D" w:rsidRPr="00B441F4">
        <w:t xml:space="preserve"> (O4.150; G3.77).</w:t>
      </w:r>
      <w:r w:rsidR="00EE291D">
        <w:t xml:space="preserve"> But why should determinate beings follow </w:t>
      </w:r>
      <w:r w:rsidR="00EE291D" w:rsidRPr="00C52E6E">
        <w:rPr>
          <w:i/>
          <w:iCs/>
        </w:rPr>
        <w:t>necessarily</w:t>
      </w:r>
      <w:r w:rsidR="00EE291D">
        <w:t xml:space="preserve"> from the nature of an indeterminate being?</w:t>
      </w:r>
      <w:r w:rsidR="00612BDB">
        <w:t xml:space="preserve"> These beings aren</w:t>
      </w:r>
      <w:r w:rsidR="006970F5">
        <w:t>’</w:t>
      </w:r>
      <w:r w:rsidR="00612BDB">
        <w:t xml:space="preserve">t necessary for </w:t>
      </w:r>
      <w:r w:rsidR="00A749F9">
        <w:t>God’s</w:t>
      </w:r>
      <w:r w:rsidR="00612BDB">
        <w:t xml:space="preserve"> self-knowledge, since he is conceived through himself, </w:t>
      </w:r>
      <w:r w:rsidR="00E603E8">
        <w:t>and anyway why should it be necessary for God to know himself?</w:t>
      </w:r>
    </w:p>
    <w:p w14:paraId="4586B9C7" w14:textId="22F9EB68" w:rsidR="00F6224A" w:rsidRDefault="007F70A7" w:rsidP="00510132">
      <w:pPr>
        <w:ind w:firstLine="720"/>
      </w:pPr>
      <w:r>
        <w:rPr>
          <w:rFonts w:cs="Calibri"/>
        </w:rPr>
        <w:t xml:space="preserve">On the first question, Spinoza could simply insist that something </w:t>
      </w:r>
      <w:r w:rsidR="00D01C58">
        <w:rPr>
          <w:rFonts w:cs="Calibri"/>
        </w:rPr>
        <w:t>can exist</w:t>
      </w:r>
      <w:r>
        <w:rPr>
          <w:rFonts w:cs="Calibri"/>
        </w:rPr>
        <w:t xml:space="preserve"> </w:t>
      </w:r>
      <w:r w:rsidR="001A665B">
        <w:rPr>
          <w:rFonts w:cs="Calibri"/>
        </w:rPr>
        <w:t>and</w:t>
      </w:r>
      <w:r>
        <w:rPr>
          <w:rFonts w:cs="Calibri"/>
        </w:rPr>
        <w:t xml:space="preserve"> </w:t>
      </w:r>
      <w:r w:rsidR="00D01C58">
        <w:rPr>
          <w:rFonts w:cs="Calibri"/>
        </w:rPr>
        <w:t>be</w:t>
      </w:r>
      <w:r>
        <w:rPr>
          <w:rFonts w:cs="Calibri"/>
        </w:rPr>
        <w:t xml:space="preserve"> conceived</w:t>
      </w:r>
      <w:r w:rsidR="0035557B">
        <w:rPr>
          <w:rFonts w:cs="Calibri"/>
        </w:rPr>
        <w:t xml:space="preserve"> without being determinate</w:t>
      </w:r>
      <w:r>
        <w:rPr>
          <w:rFonts w:cs="Calibri"/>
        </w:rPr>
        <w:t xml:space="preserve">. </w:t>
      </w:r>
      <w:r w:rsidR="008F36FF">
        <w:rPr>
          <w:rFonts w:cs="Calibri"/>
        </w:rPr>
        <w:t>He would</w:t>
      </w:r>
      <w:r>
        <w:rPr>
          <w:rFonts w:cs="Calibri"/>
        </w:rPr>
        <w:t xml:space="preserve">, however, </w:t>
      </w:r>
      <w:r w:rsidR="008F36FF">
        <w:rPr>
          <w:rFonts w:cs="Calibri"/>
        </w:rPr>
        <w:t xml:space="preserve">find </w:t>
      </w:r>
      <w:r>
        <w:rPr>
          <w:rFonts w:cs="Calibri"/>
        </w:rPr>
        <w:t xml:space="preserve">a strong philosophical tradition </w:t>
      </w:r>
      <w:r w:rsidR="00612BDB">
        <w:rPr>
          <w:rFonts w:cs="Calibri"/>
        </w:rPr>
        <w:t xml:space="preserve">against </w:t>
      </w:r>
      <w:r w:rsidR="008F36FF">
        <w:rPr>
          <w:rFonts w:cs="Calibri"/>
        </w:rPr>
        <w:t>him</w:t>
      </w:r>
      <w:r>
        <w:rPr>
          <w:rFonts w:cs="Calibri"/>
        </w:rPr>
        <w:t xml:space="preserve">. </w:t>
      </w:r>
      <w:r>
        <w:t>Elizabeth Anscombe</w:t>
      </w:r>
      <w:r w:rsidR="003512C0">
        <w:t xml:space="preserve"> </w:t>
      </w:r>
      <w:r>
        <w:t>trace</w:t>
      </w:r>
      <w:r w:rsidR="007C04E1">
        <w:t>s</w:t>
      </w:r>
      <w:r>
        <w:t xml:space="preserve"> to Aristotle</w:t>
      </w:r>
      <w:r w:rsidR="007C04E1">
        <w:t xml:space="preserve"> </w:t>
      </w:r>
      <w:r w:rsidR="007A4474">
        <w:t xml:space="preserve">the idea that a thing must be conceived under some </w:t>
      </w:r>
      <w:r w:rsidR="004565D5">
        <w:t xml:space="preserve">determinate </w:t>
      </w:r>
      <w:r w:rsidR="007A4474">
        <w:t>description to be conceived at all</w:t>
      </w:r>
      <w:r w:rsidR="00FD430F">
        <w:t>.</w:t>
      </w:r>
      <w:r w:rsidR="003512C0">
        <w:rPr>
          <w:rStyle w:val="FootnoteReference"/>
        </w:rPr>
        <w:footnoteReference w:id="26"/>
      </w:r>
      <w:r w:rsidR="007A4474">
        <w:t xml:space="preserve"> </w:t>
      </w:r>
      <w:r w:rsidR="00FD430F">
        <w:t>I</w:t>
      </w:r>
      <w:r w:rsidR="007A4474">
        <w:t xml:space="preserve">f I ask whether </w:t>
      </w:r>
      <w:r w:rsidR="00FD430F">
        <w:t xml:space="preserve">a given thing exists, the answer depends </w:t>
      </w:r>
      <w:r w:rsidR="00BE5CDD">
        <w:t xml:space="preserve">on </w:t>
      </w:r>
      <w:r w:rsidR="009B76C2">
        <w:t xml:space="preserve">how </w:t>
      </w:r>
      <w:r w:rsidR="004D3920">
        <w:t>the thing</w:t>
      </w:r>
      <w:r w:rsidR="009B76C2">
        <w:t xml:space="preserve"> is determined</w:t>
      </w:r>
      <w:r w:rsidR="000C76D0">
        <w:t>.</w:t>
      </w:r>
      <w:r w:rsidR="00FD430F">
        <w:t xml:space="preserve"> </w:t>
      </w:r>
      <w:r w:rsidR="00362AFB">
        <w:t>For example:</w:t>
      </w:r>
      <w:r w:rsidR="005F3847">
        <w:t xml:space="preserve"> t</w:t>
      </w:r>
      <w:r w:rsidR="00FD430F">
        <w:t xml:space="preserve">he sapling has ceased to exist, replaced by the mature tree, but the living organism remains. </w:t>
      </w:r>
      <w:r w:rsidR="00C90469">
        <w:t>I</w:t>
      </w:r>
      <w:r w:rsidR="00E16051">
        <w:t>f I ask</w:t>
      </w:r>
      <w:r w:rsidR="00D3621B">
        <w:t xml:space="preserve"> </w:t>
      </w:r>
      <w:r w:rsidR="00E16051">
        <w:t xml:space="preserve">whether </w:t>
      </w:r>
      <w:r w:rsidR="00E16051">
        <w:rPr>
          <w:i/>
          <w:iCs/>
        </w:rPr>
        <w:t xml:space="preserve">it </w:t>
      </w:r>
      <w:r w:rsidR="00362AFB">
        <w:t xml:space="preserve">still </w:t>
      </w:r>
      <w:r w:rsidR="00E16051">
        <w:t>exists</w:t>
      </w:r>
      <w:r w:rsidR="00D3621B">
        <w:t xml:space="preserve"> and hope for an answer, </w:t>
      </w:r>
      <w:r w:rsidR="00E16051">
        <w:t xml:space="preserve">I must specify whether I mean </w:t>
      </w:r>
      <w:r w:rsidR="00BE5CDD">
        <w:t xml:space="preserve">by </w:t>
      </w:r>
      <w:r w:rsidR="00A749F9">
        <w:t>“</w:t>
      </w:r>
      <w:r w:rsidR="00BE5CDD">
        <w:t>it</w:t>
      </w:r>
      <w:r w:rsidR="00A749F9">
        <w:t>”</w:t>
      </w:r>
      <w:r w:rsidR="00BE5CDD">
        <w:t xml:space="preserve"> </w:t>
      </w:r>
      <w:r w:rsidR="00E16051">
        <w:t>a sapling or a living organism</w:t>
      </w:r>
      <w:r w:rsidR="00C16B5A">
        <w:t>.</w:t>
      </w:r>
      <w:r w:rsidR="00E16051">
        <w:t xml:space="preserve"> </w:t>
      </w:r>
      <w:r w:rsidR="00FD430F">
        <w:t>This, for Anscombe, shows that existence can</w:t>
      </w:r>
      <w:r w:rsidR="00C94A81">
        <w:t>’</w:t>
      </w:r>
      <w:r w:rsidR="00FD430F">
        <w:t xml:space="preserve">t be detached from determination: </w:t>
      </w:r>
      <w:r w:rsidR="00FD430F" w:rsidRPr="00510132">
        <w:rPr>
          <w:i/>
          <w:iCs/>
        </w:rPr>
        <w:t>whether</w:t>
      </w:r>
      <w:r w:rsidR="00FD430F">
        <w:t xml:space="preserve"> a thing is depends on </w:t>
      </w:r>
      <w:r w:rsidR="00FD430F">
        <w:rPr>
          <w:i/>
          <w:iCs/>
        </w:rPr>
        <w:t xml:space="preserve">what </w:t>
      </w:r>
      <w:r w:rsidR="00FD430F">
        <w:t>it is.</w:t>
      </w:r>
      <w:r w:rsidR="00FD430F" w:rsidRPr="006C277F">
        <w:rPr>
          <w:rStyle w:val="FootnoteReference"/>
        </w:rPr>
        <w:footnoteReference w:id="27"/>
      </w:r>
      <w:r w:rsidR="007A4474">
        <w:t xml:space="preserve"> </w:t>
      </w:r>
      <w:r w:rsidR="00FD430F">
        <w:t xml:space="preserve">To speak of an indeterminate object, Anscombe argues </w:t>
      </w:r>
      <w:r w:rsidR="003071E4">
        <w:t>elsewhere</w:t>
      </w:r>
      <w:r w:rsidR="002130A1">
        <w:t xml:space="preserve"> (though still discussing Aristotle)</w:t>
      </w:r>
      <w:r w:rsidR="00FD430F">
        <w:t xml:space="preserve">, </w:t>
      </w:r>
      <w:r w:rsidR="00A749F9">
        <w:t>“</w:t>
      </w:r>
      <w:r w:rsidR="00FD430F">
        <w:t xml:space="preserve">suggests a phantasmic notion of the individual as a </w:t>
      </w:r>
      <w:r w:rsidR="00C94A81">
        <w:t>‘</w:t>
      </w:r>
      <w:r w:rsidR="00FD430F">
        <w:t>bare particular</w:t>
      </w:r>
      <w:r w:rsidR="00C94A81">
        <w:t>’</w:t>
      </w:r>
      <w:r w:rsidR="00FD430F">
        <w:t xml:space="preserve"> with no properties, because it supposes a continued identity independent of what is true of the object</w:t>
      </w:r>
      <w:r w:rsidR="00A749F9">
        <w:t>”</w:t>
      </w:r>
      <w:r w:rsidR="00FD430F">
        <w:t>.</w:t>
      </w:r>
      <w:r w:rsidR="00FD430F" w:rsidRPr="006C277F">
        <w:rPr>
          <w:rStyle w:val="FootnoteReference"/>
        </w:rPr>
        <w:footnoteReference w:id="28"/>
      </w:r>
      <w:r w:rsidR="00FD430F">
        <w:t xml:space="preserve"> </w:t>
      </w:r>
    </w:p>
    <w:p w14:paraId="5AE5A3E9" w14:textId="2AB7FC31" w:rsidR="007F70A7" w:rsidRDefault="00510132" w:rsidP="00510132">
      <w:pPr>
        <w:ind w:firstLine="720"/>
        <w:rPr>
          <w:rFonts w:cs="Calibri"/>
        </w:rPr>
      </w:pPr>
      <w:r>
        <w:lastRenderedPageBreak/>
        <w:t xml:space="preserve">The same line of thinking </w:t>
      </w:r>
      <w:r w:rsidR="007A4474">
        <w:t xml:space="preserve">is found in </w:t>
      </w:r>
      <w:r w:rsidR="00A749F9">
        <w:rPr>
          <w:rFonts w:cs="Calibri"/>
        </w:rPr>
        <w:t xml:space="preserve">Spinoza’s </w:t>
      </w:r>
      <w:r w:rsidR="007F70A7">
        <w:rPr>
          <w:rFonts w:cs="Calibri"/>
        </w:rPr>
        <w:t xml:space="preserve">contemporary, Johannes </w:t>
      </w:r>
      <w:proofErr w:type="spellStart"/>
      <w:r w:rsidR="007F70A7">
        <w:rPr>
          <w:rFonts w:cs="Calibri"/>
        </w:rPr>
        <w:t>Clauberg</w:t>
      </w:r>
      <w:proofErr w:type="spellEnd"/>
      <w:r w:rsidR="007F70A7">
        <w:rPr>
          <w:rFonts w:cs="Calibri"/>
        </w:rPr>
        <w:t>.</w:t>
      </w:r>
      <w:r w:rsidR="007F70A7" w:rsidRPr="00C427DA">
        <w:rPr>
          <w:rStyle w:val="FootnoteReference"/>
        </w:rPr>
        <w:footnoteReference w:id="29"/>
      </w:r>
      <w:r w:rsidR="007F70A7">
        <w:rPr>
          <w:lang w:val="en-GB"/>
        </w:rPr>
        <w:t xml:space="preserve"> In his logic textbook, which Spinoza </w:t>
      </w:r>
      <w:r w:rsidR="007F70A7">
        <w:rPr>
          <w:rFonts w:cs="Calibri"/>
        </w:rPr>
        <w:t>owned,</w:t>
      </w:r>
      <w:r w:rsidR="007F70A7" w:rsidRPr="00C427DA">
        <w:rPr>
          <w:rStyle w:val="FootnoteReference"/>
        </w:rPr>
        <w:footnoteReference w:id="30"/>
      </w:r>
      <w:r w:rsidR="007F70A7">
        <w:rPr>
          <w:rFonts w:cs="Calibri"/>
        </w:rPr>
        <w:t xml:space="preserve"> </w:t>
      </w:r>
      <w:proofErr w:type="spellStart"/>
      <w:r w:rsidR="007F70A7">
        <w:rPr>
          <w:rFonts w:cs="Calibri"/>
        </w:rPr>
        <w:t>Clauberg</w:t>
      </w:r>
      <w:proofErr w:type="spellEnd"/>
      <w:r w:rsidR="007F70A7">
        <w:rPr>
          <w:rFonts w:cs="Calibri"/>
        </w:rPr>
        <w:t xml:space="preserve"> proposes that the essence or nature of a thing is that </w:t>
      </w:r>
      <w:r w:rsidR="00A749F9">
        <w:rPr>
          <w:rFonts w:cs="Calibri"/>
        </w:rPr>
        <w:t>“</w:t>
      </w:r>
      <w:r w:rsidR="007F70A7">
        <w:rPr>
          <w:rFonts w:cs="Calibri"/>
        </w:rPr>
        <w:t xml:space="preserve">by which the thing both is and is-what-it-is: </w:t>
      </w:r>
      <w:proofErr w:type="gramStart"/>
      <w:r w:rsidR="007F70A7">
        <w:rPr>
          <w:rFonts w:cs="Calibri"/>
        </w:rPr>
        <w:t>thus</w:t>
      </w:r>
      <w:proofErr w:type="gramEnd"/>
      <w:r w:rsidR="007F70A7">
        <w:rPr>
          <w:rFonts w:cs="Calibri"/>
        </w:rPr>
        <w:t xml:space="preserve"> humanity is the essence of a human being and divinity is the essence of God</w:t>
      </w:r>
      <w:r w:rsidR="00A749F9">
        <w:rPr>
          <w:rFonts w:cs="Calibri"/>
        </w:rPr>
        <w:t>”</w:t>
      </w:r>
      <w:r w:rsidR="007F70A7">
        <w:rPr>
          <w:rFonts w:cs="Calibri"/>
        </w:rPr>
        <w:t xml:space="preserve">. </w:t>
      </w:r>
      <w:r w:rsidR="008F05D1">
        <w:rPr>
          <w:rFonts w:cs="Calibri"/>
        </w:rPr>
        <w:t>Elsewhere</w:t>
      </w:r>
      <w:r w:rsidR="007F70A7">
        <w:rPr>
          <w:rFonts w:cs="Calibri"/>
        </w:rPr>
        <w:t xml:space="preserve"> </w:t>
      </w:r>
      <w:proofErr w:type="spellStart"/>
      <w:r w:rsidR="007F70A7">
        <w:rPr>
          <w:rFonts w:cs="Calibri"/>
        </w:rPr>
        <w:t>Clauberg</w:t>
      </w:r>
      <w:proofErr w:type="spellEnd"/>
      <w:r w:rsidR="007F70A7">
        <w:rPr>
          <w:rFonts w:cs="Calibri"/>
        </w:rPr>
        <w:t xml:space="preserve"> states that a thing</w:t>
      </w:r>
      <w:r w:rsidR="00C94A81">
        <w:rPr>
          <w:rFonts w:cs="Calibri"/>
        </w:rPr>
        <w:t>’</w:t>
      </w:r>
      <w:r w:rsidR="007F70A7">
        <w:rPr>
          <w:rFonts w:cs="Calibri"/>
        </w:rPr>
        <w:t xml:space="preserve">s essence answers the question </w:t>
      </w:r>
      <w:r w:rsidR="00A749F9">
        <w:rPr>
          <w:rFonts w:cs="Calibri"/>
        </w:rPr>
        <w:t>“</w:t>
      </w:r>
      <w:r w:rsidR="007F70A7">
        <w:rPr>
          <w:rFonts w:cs="Calibri"/>
        </w:rPr>
        <w:t>what is it?</w:t>
      </w:r>
      <w:r w:rsidR="00A749F9">
        <w:rPr>
          <w:rFonts w:cs="Calibri"/>
        </w:rPr>
        <w:t>”</w:t>
      </w:r>
      <w:r w:rsidR="007F70A7">
        <w:rPr>
          <w:rFonts w:cs="Calibri"/>
        </w:rPr>
        <w:t xml:space="preserve">, which is </w:t>
      </w:r>
      <w:r w:rsidR="007F70A7" w:rsidRPr="00470711">
        <w:rPr>
          <w:rFonts w:cs="Calibri"/>
          <w:i/>
        </w:rPr>
        <w:t>prior</w:t>
      </w:r>
      <w:r w:rsidR="007F70A7">
        <w:rPr>
          <w:rFonts w:cs="Calibri"/>
        </w:rPr>
        <w:t xml:space="preserve"> to the question of its </w:t>
      </w:r>
      <w:r w:rsidR="007F70A7" w:rsidRPr="007A4474">
        <w:rPr>
          <w:rFonts w:cs="Calibri"/>
        </w:rPr>
        <w:t>existence</w:t>
      </w:r>
      <w:r w:rsidR="007F70A7">
        <w:rPr>
          <w:rFonts w:cs="Calibri"/>
        </w:rPr>
        <w:t xml:space="preserve"> – the question </w:t>
      </w:r>
      <w:r w:rsidR="00A749F9">
        <w:rPr>
          <w:rFonts w:cs="Calibri"/>
        </w:rPr>
        <w:t>“</w:t>
      </w:r>
      <w:r w:rsidR="007F70A7">
        <w:rPr>
          <w:rFonts w:cs="Calibri"/>
        </w:rPr>
        <w:t>is it?</w:t>
      </w:r>
      <w:r w:rsidR="00A749F9">
        <w:rPr>
          <w:rFonts w:cs="Calibri"/>
        </w:rPr>
        <w:t>”</w:t>
      </w:r>
      <w:r w:rsidR="007F70A7">
        <w:rPr>
          <w:rFonts w:cs="Calibri"/>
        </w:rPr>
        <w:t>.</w:t>
      </w:r>
      <w:r w:rsidR="007F70A7" w:rsidRPr="00C427DA">
        <w:rPr>
          <w:rStyle w:val="FootnoteReference"/>
        </w:rPr>
        <w:footnoteReference w:id="31"/>
      </w:r>
      <w:r>
        <w:rPr>
          <w:rFonts w:cs="Calibri"/>
        </w:rPr>
        <w:t xml:space="preserve"> </w:t>
      </w:r>
      <w:r w:rsidR="003705DA">
        <w:rPr>
          <w:rFonts w:cs="Calibri"/>
        </w:rPr>
        <w:t xml:space="preserve">We might suppose that Spinoza </w:t>
      </w:r>
      <w:r w:rsidR="007F7B46">
        <w:rPr>
          <w:rFonts w:cs="Calibri"/>
        </w:rPr>
        <w:t>doesn</w:t>
      </w:r>
      <w:r w:rsidR="00C94A81">
        <w:rPr>
          <w:rFonts w:cs="Calibri"/>
        </w:rPr>
        <w:t>’</w:t>
      </w:r>
      <w:r w:rsidR="007F7B46">
        <w:rPr>
          <w:rFonts w:cs="Calibri"/>
        </w:rPr>
        <w:t>t</w:t>
      </w:r>
      <w:r w:rsidR="003705DA">
        <w:rPr>
          <w:rFonts w:cs="Calibri"/>
        </w:rPr>
        <w:t xml:space="preserve"> agree with this priority, if we read into the fact that in his </w:t>
      </w:r>
      <w:r w:rsidR="003705DA">
        <w:rPr>
          <w:rFonts w:cs="Calibri"/>
          <w:i/>
          <w:iCs/>
        </w:rPr>
        <w:t>Short Treatise</w:t>
      </w:r>
      <w:r w:rsidR="003705DA">
        <w:rPr>
          <w:rFonts w:cs="Calibri"/>
        </w:rPr>
        <w:t xml:space="preserve"> the chapter called </w:t>
      </w:r>
      <w:r w:rsidR="00A749F9">
        <w:rPr>
          <w:rFonts w:cs="Calibri"/>
        </w:rPr>
        <w:t>“</w:t>
      </w:r>
      <w:r w:rsidR="003705DA">
        <w:rPr>
          <w:rFonts w:cs="Calibri"/>
        </w:rPr>
        <w:t>That God Is</w:t>
      </w:r>
      <w:r w:rsidR="00A749F9">
        <w:rPr>
          <w:rFonts w:cs="Calibri"/>
        </w:rPr>
        <w:t>”</w:t>
      </w:r>
      <w:r w:rsidR="003705DA">
        <w:rPr>
          <w:rFonts w:cs="Calibri"/>
        </w:rPr>
        <w:t xml:space="preserve"> (ST 1.1) precedes the chapter called </w:t>
      </w:r>
      <w:r w:rsidR="00A749F9">
        <w:rPr>
          <w:rFonts w:cs="Calibri"/>
        </w:rPr>
        <w:t>“</w:t>
      </w:r>
      <w:r w:rsidR="003705DA">
        <w:rPr>
          <w:rFonts w:cs="Calibri"/>
        </w:rPr>
        <w:t>What God Is</w:t>
      </w:r>
      <w:r w:rsidR="00A749F9">
        <w:rPr>
          <w:rFonts w:cs="Calibri"/>
        </w:rPr>
        <w:t>”</w:t>
      </w:r>
      <w:r w:rsidR="003705DA">
        <w:rPr>
          <w:rFonts w:cs="Calibri"/>
        </w:rPr>
        <w:t xml:space="preserve"> (ST 1.2). </w:t>
      </w:r>
      <w:r w:rsidR="005007F5">
        <w:rPr>
          <w:rFonts w:cs="Calibri"/>
        </w:rPr>
        <w:t>But</w:t>
      </w:r>
      <w:r w:rsidR="003705DA">
        <w:rPr>
          <w:rFonts w:cs="Calibri"/>
        </w:rPr>
        <w:t xml:space="preserve"> we need not </w:t>
      </w:r>
      <w:r w:rsidR="005007F5">
        <w:rPr>
          <w:rFonts w:cs="Calibri"/>
        </w:rPr>
        <w:t>read so much into the order of the chapters</w:t>
      </w:r>
      <w:r w:rsidR="001255FA">
        <w:rPr>
          <w:rFonts w:cs="Calibri"/>
        </w:rPr>
        <w:t>; t</w:t>
      </w:r>
      <w:r w:rsidR="003705DA">
        <w:rPr>
          <w:rFonts w:cs="Calibri"/>
        </w:rPr>
        <w:t xml:space="preserve">he order of demonstration </w:t>
      </w:r>
      <w:r w:rsidR="001255FA">
        <w:rPr>
          <w:rFonts w:cs="Calibri"/>
        </w:rPr>
        <w:t>might</w:t>
      </w:r>
      <w:r w:rsidR="005007F5">
        <w:rPr>
          <w:rFonts w:cs="Calibri"/>
        </w:rPr>
        <w:t xml:space="preserve"> not</w:t>
      </w:r>
      <w:r w:rsidR="003705DA">
        <w:rPr>
          <w:rFonts w:cs="Calibri"/>
        </w:rPr>
        <w:t xml:space="preserve"> follow the order of discovery</w:t>
      </w:r>
      <w:r w:rsidR="00FF3DFB">
        <w:rPr>
          <w:rFonts w:cs="Calibri"/>
        </w:rPr>
        <w:t>. I</w:t>
      </w:r>
      <w:r w:rsidR="003705DA">
        <w:rPr>
          <w:rFonts w:cs="Calibri"/>
        </w:rPr>
        <w:t>n any case</w:t>
      </w:r>
      <w:r w:rsidR="00FF3DFB">
        <w:rPr>
          <w:rFonts w:cs="Calibri"/>
        </w:rPr>
        <w:t>,</w:t>
      </w:r>
      <w:r w:rsidR="003705DA">
        <w:rPr>
          <w:rFonts w:cs="Calibri"/>
        </w:rPr>
        <w:t xml:space="preserve"> Spinoza does seek to answer the question of what God is</w:t>
      </w:r>
      <w:r w:rsidR="00771124">
        <w:rPr>
          <w:rFonts w:cs="Calibri"/>
        </w:rPr>
        <w:t xml:space="preserve">, suggesting that God is </w:t>
      </w:r>
      <w:r w:rsidR="00743685">
        <w:rPr>
          <w:rFonts w:cs="Calibri"/>
        </w:rPr>
        <w:t>at least to</w:t>
      </w:r>
      <w:r w:rsidR="00771124">
        <w:rPr>
          <w:rFonts w:cs="Calibri"/>
        </w:rPr>
        <w:t xml:space="preserve"> some </w:t>
      </w:r>
      <w:r w:rsidR="00743685">
        <w:rPr>
          <w:rFonts w:cs="Calibri"/>
        </w:rPr>
        <w:t>degree</w:t>
      </w:r>
      <w:r w:rsidR="00771124">
        <w:rPr>
          <w:rFonts w:cs="Calibri"/>
        </w:rPr>
        <w:t xml:space="preserve"> determinate</w:t>
      </w:r>
      <w:r w:rsidR="003705DA">
        <w:rPr>
          <w:rFonts w:cs="Calibri"/>
        </w:rPr>
        <w:t>.</w:t>
      </w:r>
      <w:r w:rsidR="00FF3DFB">
        <w:rPr>
          <w:rFonts w:cs="Calibri"/>
        </w:rPr>
        <w:t xml:space="preserve"> He </w:t>
      </w:r>
      <w:r w:rsidR="00C833CD">
        <w:rPr>
          <w:rFonts w:cs="Calibri"/>
        </w:rPr>
        <w:t>states</w:t>
      </w:r>
      <w:r w:rsidR="00FF3DFB">
        <w:rPr>
          <w:rFonts w:cs="Calibri"/>
        </w:rPr>
        <w:t xml:space="preserve"> that </w:t>
      </w:r>
      <w:r w:rsidR="00A749F9">
        <w:rPr>
          <w:rFonts w:cs="Calibri"/>
        </w:rPr>
        <w:t>“</w:t>
      </w:r>
      <w:r w:rsidR="00FF3DFB">
        <w:rPr>
          <w:rFonts w:cs="Calibri"/>
        </w:rPr>
        <w:t xml:space="preserve">attributes must be </w:t>
      </w:r>
      <w:r w:rsidR="00380309">
        <w:rPr>
          <w:rFonts w:cs="Calibri"/>
        </w:rPr>
        <w:t>ascribed</w:t>
      </w:r>
      <w:r w:rsidR="00FF3DFB">
        <w:rPr>
          <w:rFonts w:cs="Calibri"/>
        </w:rPr>
        <w:t xml:space="preserve"> </w:t>
      </w:r>
      <w:r w:rsidR="00380309">
        <w:rPr>
          <w:rFonts w:cs="Calibri"/>
        </w:rPr>
        <w:t>to</w:t>
      </w:r>
      <w:r w:rsidR="00FF3DFB">
        <w:rPr>
          <w:rFonts w:cs="Calibri"/>
        </w:rPr>
        <w:t xml:space="preserve"> a being that has </w:t>
      </w:r>
      <w:r w:rsidR="00380309">
        <w:rPr>
          <w:rFonts w:cs="Calibri"/>
        </w:rPr>
        <w:t xml:space="preserve">an </w:t>
      </w:r>
      <w:r w:rsidR="00FF3DFB">
        <w:rPr>
          <w:rFonts w:cs="Calibri"/>
        </w:rPr>
        <w:t>essence</w:t>
      </w:r>
      <w:r w:rsidR="00A749F9">
        <w:rPr>
          <w:rFonts w:cs="Calibri"/>
        </w:rPr>
        <w:t>”</w:t>
      </w:r>
      <w:r w:rsidR="00FF3DFB">
        <w:rPr>
          <w:rFonts w:cs="Calibri"/>
        </w:rPr>
        <w:t xml:space="preserve"> (ST 1.2,</w:t>
      </w:r>
      <w:r w:rsidR="00B435A5">
        <w:rPr>
          <w:rFonts w:cs="Calibri"/>
        </w:rPr>
        <w:t xml:space="preserve"> O1.206</w:t>
      </w:r>
      <w:r w:rsidR="00044DC5">
        <w:rPr>
          <w:rFonts w:cs="Calibri"/>
        </w:rPr>
        <w:t>)</w:t>
      </w:r>
      <w:r>
        <w:rPr>
          <w:rFonts w:cs="Calibri"/>
        </w:rPr>
        <w:t xml:space="preserve">. </w:t>
      </w:r>
      <w:proofErr w:type="spellStart"/>
      <w:r>
        <w:rPr>
          <w:rFonts w:cs="Calibri"/>
        </w:rPr>
        <w:t>Eriugena</w:t>
      </w:r>
      <w:proofErr w:type="spellEnd"/>
      <w:r>
        <w:rPr>
          <w:rFonts w:cs="Calibri"/>
        </w:rPr>
        <w:t xml:space="preserve"> </w:t>
      </w:r>
      <w:r w:rsidR="007E0209">
        <w:rPr>
          <w:rFonts w:cs="Calibri"/>
        </w:rPr>
        <w:t>doesn</w:t>
      </w:r>
      <w:r w:rsidR="00C94A81">
        <w:rPr>
          <w:rFonts w:cs="Calibri"/>
        </w:rPr>
        <w:t>’</w:t>
      </w:r>
      <w:r w:rsidR="007E0209">
        <w:rPr>
          <w:rFonts w:cs="Calibri"/>
        </w:rPr>
        <w:t xml:space="preserve">t deny that we must be able to say </w:t>
      </w:r>
      <w:r w:rsidR="007E0209">
        <w:rPr>
          <w:rFonts w:cs="Calibri"/>
          <w:i/>
          <w:iCs/>
        </w:rPr>
        <w:t xml:space="preserve">what </w:t>
      </w:r>
      <w:r w:rsidR="007E0209">
        <w:rPr>
          <w:rFonts w:cs="Calibri"/>
        </w:rPr>
        <w:t xml:space="preserve">something is </w:t>
      </w:r>
      <w:proofErr w:type="gramStart"/>
      <w:r w:rsidR="007E0209">
        <w:rPr>
          <w:rFonts w:cs="Calibri"/>
        </w:rPr>
        <w:t>in order to</w:t>
      </w:r>
      <w:proofErr w:type="gramEnd"/>
      <w:r w:rsidR="007E0209">
        <w:rPr>
          <w:rFonts w:cs="Calibri"/>
        </w:rPr>
        <w:t xml:space="preserve"> say </w:t>
      </w:r>
      <w:r w:rsidR="007E0209">
        <w:rPr>
          <w:rFonts w:cs="Calibri"/>
          <w:i/>
          <w:iCs/>
        </w:rPr>
        <w:t xml:space="preserve">that </w:t>
      </w:r>
      <w:r w:rsidR="007E0209">
        <w:rPr>
          <w:rFonts w:cs="Calibri"/>
        </w:rPr>
        <w:t xml:space="preserve">it is; he simply </w:t>
      </w:r>
      <w:r>
        <w:rPr>
          <w:rFonts w:cs="Calibri"/>
        </w:rPr>
        <w:t xml:space="preserve">resists saying even </w:t>
      </w:r>
      <w:r w:rsidRPr="007E0209">
        <w:rPr>
          <w:rFonts w:cs="Calibri"/>
          <w:i/>
          <w:iCs/>
        </w:rPr>
        <w:t>that</w:t>
      </w:r>
      <w:r>
        <w:rPr>
          <w:rFonts w:cs="Calibri"/>
        </w:rPr>
        <w:t xml:space="preserve"> God </w:t>
      </w:r>
      <w:r w:rsidRPr="003705DA">
        <w:rPr>
          <w:rFonts w:cs="Calibri"/>
        </w:rPr>
        <w:t>is</w:t>
      </w:r>
      <w:r w:rsidR="00D077D9">
        <w:rPr>
          <w:rFonts w:cs="Calibri"/>
        </w:rPr>
        <w:t>.</w:t>
      </w:r>
      <w:r w:rsidR="00D077D9" w:rsidRPr="006C277F">
        <w:rPr>
          <w:rStyle w:val="FootnoteReference"/>
        </w:rPr>
        <w:footnoteReference w:id="32"/>
      </w:r>
      <w:r w:rsidR="003705DA">
        <w:rPr>
          <w:rFonts w:cs="Calibri"/>
        </w:rPr>
        <w:t xml:space="preserve"> </w:t>
      </w:r>
      <w:r w:rsidR="00D077D9">
        <w:rPr>
          <w:rFonts w:cs="Calibri"/>
        </w:rPr>
        <w:t>B</w:t>
      </w:r>
      <w:r w:rsidR="003705DA">
        <w:rPr>
          <w:rFonts w:cs="Calibri"/>
        </w:rPr>
        <w:t>ut</w:t>
      </w:r>
      <w:r>
        <w:rPr>
          <w:rFonts w:cs="Calibri"/>
        </w:rPr>
        <w:t xml:space="preserve"> Spinoza</w:t>
      </w:r>
      <w:r w:rsidR="003705DA">
        <w:rPr>
          <w:rFonts w:cs="Calibri"/>
        </w:rPr>
        <w:t xml:space="preserve"> </w:t>
      </w:r>
      <w:r w:rsidR="007E0209">
        <w:rPr>
          <w:rFonts w:cs="Calibri"/>
        </w:rPr>
        <w:t>wants to say both that and what God is. It is hard, then, to see how he could</w:t>
      </w:r>
      <w:r w:rsidR="00525EA4">
        <w:rPr>
          <w:rFonts w:cs="Calibri"/>
        </w:rPr>
        <w:t xml:space="preserve"> consistently</w:t>
      </w:r>
      <w:r w:rsidR="007E0209">
        <w:rPr>
          <w:rFonts w:cs="Calibri"/>
        </w:rPr>
        <w:t xml:space="preserve"> avoid regarding God as determinate.</w:t>
      </w:r>
    </w:p>
    <w:p w14:paraId="6F1AFAFC" w14:textId="2AA20C04" w:rsidR="00BB32D2" w:rsidRDefault="00BB32D2" w:rsidP="00BB32D2">
      <w:pPr>
        <w:pStyle w:val="Heading1"/>
      </w:pPr>
      <w:r>
        <w:t xml:space="preserve">4. God as </w:t>
      </w:r>
      <w:proofErr w:type="spellStart"/>
      <w:r>
        <w:t>Superdeterminate</w:t>
      </w:r>
      <w:proofErr w:type="spellEnd"/>
      <w:r>
        <w:t xml:space="preserve"> Rather Than Indeterminate</w:t>
      </w:r>
    </w:p>
    <w:p w14:paraId="21CD75D6" w14:textId="3A6D3C80" w:rsidR="00765322" w:rsidRDefault="001F0078" w:rsidP="00BB32D2">
      <w:pPr>
        <w:rPr>
          <w:rFonts w:cs="Calibri"/>
        </w:rPr>
      </w:pPr>
      <w:r>
        <w:t>W</w:t>
      </w:r>
      <w:r w:rsidR="00044DC5">
        <w:t xml:space="preserve">hat, then, are we to make of </w:t>
      </w:r>
      <w:r w:rsidR="00A749F9">
        <w:t xml:space="preserve">Spinoza’s </w:t>
      </w:r>
      <w:r w:rsidR="00044DC5">
        <w:t>claims that God is unlimited and free of all negation</w:t>
      </w:r>
      <w:r>
        <w:t>,</w:t>
      </w:r>
      <w:r w:rsidR="00044DC5">
        <w:t xml:space="preserve"> while determination is negation?</w:t>
      </w:r>
      <w:r w:rsidR="00D077D9" w:rsidRPr="00D077D9">
        <w:t xml:space="preserve"> </w:t>
      </w:r>
      <w:r>
        <w:t>Together these do</w:t>
      </w:r>
      <w:r w:rsidR="00044DC5">
        <w:t xml:space="preserve"> seem to imply that God is indeterminate, </w:t>
      </w:r>
      <w:r w:rsidR="00044DC5">
        <w:lastRenderedPageBreak/>
        <w:t xml:space="preserve">despite the difficulties </w:t>
      </w:r>
      <w:r w:rsidR="000A223C">
        <w:t>I</w:t>
      </w:r>
      <w:r w:rsidR="00044DC5">
        <w:t xml:space="preserve"> have raised. The resolution</w:t>
      </w:r>
      <w:r w:rsidR="006F37EE">
        <w:t xml:space="preserve"> to this interpretative puzzle</w:t>
      </w:r>
      <w:r w:rsidR="00044DC5">
        <w:t xml:space="preserve"> lies</w:t>
      </w:r>
      <w:r w:rsidR="006F37EE">
        <w:t>, I believe,</w:t>
      </w:r>
      <w:r w:rsidR="00044DC5">
        <w:t xml:space="preserve"> in a very important observation made by Melamed. There</w:t>
      </w:r>
      <w:r w:rsidR="00D077D9">
        <w:t xml:space="preserve"> are</w:t>
      </w:r>
      <w:r w:rsidR="009D3DAA">
        <w:t>, Melamed notes,</w:t>
      </w:r>
      <w:r w:rsidR="00044DC5">
        <w:t xml:space="preserve"> at least</w:t>
      </w:r>
      <w:r w:rsidR="00D077D9">
        <w:t xml:space="preserve"> two ways to avoid being </w:t>
      </w:r>
      <w:r w:rsidR="00F7742E">
        <w:t xml:space="preserve">limited by </w:t>
      </w:r>
      <w:r w:rsidR="00D077D9">
        <w:t>determination.</w:t>
      </w:r>
      <w:r w:rsidR="00044DC5">
        <w:rPr>
          <w:rStyle w:val="FootnoteReference"/>
        </w:rPr>
        <w:footnoteReference w:id="33"/>
      </w:r>
      <w:r w:rsidR="00D077D9">
        <w:t xml:space="preserve"> One is to be </w:t>
      </w:r>
      <w:r w:rsidR="00D077D9" w:rsidRPr="00F717C3">
        <w:t>indeterminate</w:t>
      </w:r>
      <w:r w:rsidR="00D077D9">
        <w:t xml:space="preserve">: to fail to exist in any determinate way. </w:t>
      </w:r>
      <w:r w:rsidR="00044DC5">
        <w:t xml:space="preserve">But there is </w:t>
      </w:r>
      <w:r>
        <w:t>an</w:t>
      </w:r>
      <w:r w:rsidR="00D077D9">
        <w:t>other way</w:t>
      </w:r>
      <w:r w:rsidR="00044DC5">
        <w:t>, which</w:t>
      </w:r>
      <w:r w:rsidR="00D077D9">
        <w:t xml:space="preserve"> is </w:t>
      </w:r>
      <w:r w:rsidR="00D077D9" w:rsidRPr="00044DC5">
        <w:rPr>
          <w:i/>
          <w:iCs/>
        </w:rPr>
        <w:t>to exist</w:t>
      </w:r>
      <w:r w:rsidR="00D077D9">
        <w:t xml:space="preserve"> </w:t>
      </w:r>
      <w:r w:rsidR="00D077D9" w:rsidRPr="00A7743A">
        <w:rPr>
          <w:i/>
          <w:iCs/>
        </w:rPr>
        <w:t xml:space="preserve">in </w:t>
      </w:r>
      <w:r w:rsidR="00D077D9">
        <w:rPr>
          <w:i/>
          <w:iCs/>
        </w:rPr>
        <w:t>every</w:t>
      </w:r>
      <w:r w:rsidR="00D077D9" w:rsidRPr="00A7743A">
        <w:rPr>
          <w:i/>
          <w:iCs/>
        </w:rPr>
        <w:t xml:space="preserve"> determinate form</w:t>
      </w:r>
      <w:r w:rsidR="00D077D9">
        <w:t xml:space="preserve">. This is how Melamed explains </w:t>
      </w:r>
      <w:r w:rsidR="00A749F9">
        <w:t xml:space="preserve">Spinoza’s </w:t>
      </w:r>
      <w:r w:rsidR="00D077D9">
        <w:t xml:space="preserve">idea of God: God escapes limitation not by failing to be determined, but by being </w:t>
      </w:r>
      <w:r w:rsidR="00D077D9">
        <w:rPr>
          <w:i/>
        </w:rPr>
        <w:t>maximally determined</w:t>
      </w:r>
      <w:r w:rsidR="00D077D9">
        <w:t xml:space="preserve">. He writes: </w:t>
      </w:r>
      <w:r w:rsidR="00A749F9">
        <w:t>“</w:t>
      </w:r>
      <w:r w:rsidR="00D077D9" w:rsidRPr="001870B4">
        <w:rPr>
          <w:lang w:eastAsia="en-GB"/>
        </w:rPr>
        <w:t xml:space="preserve">the infinite is here conceived as maximally determined (as opposed to the absolute indeterminacy of the infinite </w:t>
      </w:r>
      <w:r w:rsidR="00D077D9">
        <w:rPr>
          <w:lang w:eastAsia="en-GB"/>
        </w:rPr>
        <w:t>[…])</w:t>
      </w:r>
      <w:r w:rsidR="00A749F9">
        <w:rPr>
          <w:lang w:eastAsia="en-GB"/>
        </w:rPr>
        <w:t>”</w:t>
      </w:r>
      <w:r w:rsidR="00222218">
        <w:rPr>
          <w:lang w:eastAsia="en-GB"/>
        </w:rPr>
        <w:t>.</w:t>
      </w:r>
      <w:r w:rsidR="00D077D9" w:rsidRPr="006C277F">
        <w:rPr>
          <w:rStyle w:val="FootnoteReference"/>
        </w:rPr>
        <w:footnoteReference w:id="34"/>
      </w:r>
      <w:r w:rsidR="00D077D9">
        <w:t xml:space="preserve"> </w:t>
      </w:r>
      <w:r w:rsidR="00D077D9">
        <w:rPr>
          <w:rFonts w:cs="Calibri"/>
        </w:rPr>
        <w:t xml:space="preserve">This is suggested in the </w:t>
      </w:r>
      <w:r w:rsidR="00D077D9">
        <w:rPr>
          <w:rFonts w:cs="Calibri"/>
          <w:i/>
          <w:iCs/>
        </w:rPr>
        <w:t>Ethics</w:t>
      </w:r>
      <w:r w:rsidR="00D077D9">
        <w:rPr>
          <w:rFonts w:cs="Calibri"/>
        </w:rPr>
        <w:t xml:space="preserve">: </w:t>
      </w:r>
      <w:r w:rsidR="00A749F9">
        <w:rPr>
          <w:rFonts w:cs="Calibri"/>
        </w:rPr>
        <w:t>“</w:t>
      </w:r>
      <w:r w:rsidR="00D077D9">
        <w:rPr>
          <w:rFonts w:cs="Calibri"/>
        </w:rPr>
        <w:t xml:space="preserve">being infinite is an absolute affirmation of the existence of </w:t>
      </w:r>
      <w:r w:rsidR="00D077D9">
        <w:rPr>
          <w:rFonts w:cs="Calibri"/>
          <w:i/>
          <w:iCs/>
        </w:rPr>
        <w:t xml:space="preserve">any </w:t>
      </w:r>
      <w:r w:rsidR="00D077D9" w:rsidRPr="00573F5E">
        <w:rPr>
          <w:rFonts w:cs="Calibri"/>
          <w:i/>
          <w:iCs/>
        </w:rPr>
        <w:t>nature</w:t>
      </w:r>
      <w:r w:rsidR="00D077D9">
        <w:rPr>
          <w:rFonts w:cs="Calibri"/>
        </w:rPr>
        <w:t xml:space="preserve"> [</w:t>
      </w:r>
      <w:proofErr w:type="spellStart"/>
      <w:r w:rsidR="00D077D9" w:rsidRPr="00573F5E">
        <w:rPr>
          <w:rFonts w:cs="Calibri"/>
          <w:i/>
          <w:iCs/>
        </w:rPr>
        <w:t>alicujus</w:t>
      </w:r>
      <w:proofErr w:type="spellEnd"/>
      <w:r w:rsidR="00D077D9" w:rsidRPr="00573F5E">
        <w:rPr>
          <w:rFonts w:cs="Calibri"/>
          <w:i/>
          <w:iCs/>
        </w:rPr>
        <w:t xml:space="preserve"> naturae</w:t>
      </w:r>
      <w:r w:rsidR="00D077D9">
        <w:rPr>
          <w:rFonts w:cs="Calibri"/>
        </w:rPr>
        <w:t>]</w:t>
      </w:r>
      <w:r w:rsidR="00A749F9">
        <w:rPr>
          <w:rFonts w:cs="Calibri"/>
        </w:rPr>
        <w:t>”</w:t>
      </w:r>
      <w:r w:rsidR="00D077D9">
        <w:rPr>
          <w:rFonts w:cs="Calibri"/>
        </w:rPr>
        <w:t xml:space="preserve"> (E 1p8s1, my emphasis). </w:t>
      </w:r>
      <w:r w:rsidR="00FF3DFB">
        <w:rPr>
          <w:rFonts w:cs="Calibri"/>
        </w:rPr>
        <w:t xml:space="preserve">It is also suggested in the </w:t>
      </w:r>
      <w:r w:rsidR="00FF3DFB">
        <w:rPr>
          <w:rFonts w:cs="Calibri"/>
          <w:i/>
          <w:iCs/>
        </w:rPr>
        <w:t xml:space="preserve">Short </w:t>
      </w:r>
      <w:r w:rsidR="00FF3DFB" w:rsidRPr="00FF3DFB">
        <w:rPr>
          <w:rFonts w:cs="Calibri"/>
          <w:i/>
          <w:iCs/>
        </w:rPr>
        <w:t>Treatise</w:t>
      </w:r>
      <w:r w:rsidR="00FF3DFB">
        <w:rPr>
          <w:rFonts w:cs="Calibri"/>
        </w:rPr>
        <w:t>, in</w:t>
      </w:r>
      <w:r w:rsidR="00044DC5">
        <w:rPr>
          <w:rFonts w:cs="Calibri"/>
        </w:rPr>
        <w:t xml:space="preserve"> the continuation of a passage already quoted</w:t>
      </w:r>
      <w:r w:rsidR="00FF3DFB">
        <w:rPr>
          <w:rFonts w:cs="Calibri"/>
        </w:rPr>
        <w:t xml:space="preserve">: </w:t>
      </w:r>
    </w:p>
    <w:p w14:paraId="5CA933F6" w14:textId="74A7C8AD" w:rsidR="00FF3DFB" w:rsidRDefault="00380309" w:rsidP="00765322">
      <w:pPr>
        <w:pStyle w:val="Quote"/>
      </w:pPr>
      <w:r>
        <w:t>attributes must be ascribed to a being that has an essence, and the more essence one ascribes to it, the more attributes one must ascribe to it</w:t>
      </w:r>
      <w:r w:rsidR="00765322">
        <w:t>. Consequently, if the essence is unlimited [</w:t>
      </w:r>
      <w:proofErr w:type="spellStart"/>
      <w:r w:rsidR="00765322">
        <w:rPr>
          <w:i/>
        </w:rPr>
        <w:t>onendelyk</w:t>
      </w:r>
      <w:proofErr w:type="spellEnd"/>
      <w:r w:rsidR="00765322">
        <w:t>] then so must its attributes be unlimited, and just that is what we call a perfect being</w:t>
      </w:r>
      <w:r>
        <w:t xml:space="preserve"> (ST 1.2, </w:t>
      </w:r>
      <w:r w:rsidR="00B435A5">
        <w:t>O1.206)</w:t>
      </w:r>
      <w:r w:rsidR="00765322">
        <w:t>.</w:t>
      </w:r>
    </w:p>
    <w:p w14:paraId="79433F43" w14:textId="7E9B4F2E" w:rsidR="00D077D9" w:rsidRPr="00765322" w:rsidRDefault="00222218" w:rsidP="00765322">
      <w:r>
        <w:t>Also similar is</w:t>
      </w:r>
      <w:r w:rsidR="00042351">
        <w:t xml:space="preserve"> </w:t>
      </w:r>
      <w:r w:rsidR="00042351">
        <w:rPr>
          <w:i/>
          <w:iCs/>
        </w:rPr>
        <w:t>Ethics</w:t>
      </w:r>
      <w:r w:rsidR="00042351">
        <w:t xml:space="preserve"> 1p9: </w:t>
      </w:r>
      <w:r w:rsidR="00A749F9">
        <w:t>“</w:t>
      </w:r>
      <w:r w:rsidR="00042351">
        <w:t>the more reality or being a thing has, the more attributes belong to it</w:t>
      </w:r>
      <w:r w:rsidR="00A749F9">
        <w:t>”</w:t>
      </w:r>
      <w:r w:rsidR="00042351">
        <w:t xml:space="preserve">. </w:t>
      </w:r>
      <w:r w:rsidR="00765322">
        <w:t xml:space="preserve">This bears out </w:t>
      </w:r>
      <w:proofErr w:type="spellStart"/>
      <w:proofErr w:type="gramStart"/>
      <w:r w:rsidR="00765322">
        <w:t>Melamed</w:t>
      </w:r>
      <w:r w:rsidR="00A749F9">
        <w:t>”</w:t>
      </w:r>
      <w:r w:rsidR="00765322">
        <w:t>s</w:t>
      </w:r>
      <w:proofErr w:type="spellEnd"/>
      <w:proofErr w:type="gramEnd"/>
      <w:r w:rsidR="00765322">
        <w:t xml:space="preserve"> proposal that, paradoxically, </w:t>
      </w:r>
      <w:r w:rsidR="00A749F9">
        <w:t xml:space="preserve">Spinoza’s </w:t>
      </w:r>
      <w:r w:rsidR="00BD3EDC">
        <w:t>God</w:t>
      </w:r>
      <w:r w:rsidR="00765322">
        <w:t xml:space="preserve"> avoid</w:t>
      </w:r>
      <w:r w:rsidR="00BD3EDC">
        <w:t>s</w:t>
      </w:r>
      <w:r w:rsidR="00765322">
        <w:t xml:space="preserve"> being limited by determination </w:t>
      </w:r>
      <w:r w:rsidR="00C506A5">
        <w:t xml:space="preserve">by being </w:t>
      </w:r>
      <w:r w:rsidR="00765322">
        <w:t xml:space="preserve">subject to </w:t>
      </w:r>
      <w:r w:rsidR="00B0401B">
        <w:rPr>
          <w:i/>
          <w:iCs/>
        </w:rPr>
        <w:t>all</w:t>
      </w:r>
      <w:r w:rsidR="00765322">
        <w:t xml:space="preserve"> determinations</w:t>
      </w:r>
      <w:r w:rsidR="00B0401B">
        <w:t>.</w:t>
      </w:r>
    </w:p>
    <w:p w14:paraId="6EA26B7F" w14:textId="5FE340AE" w:rsidR="00885353" w:rsidRDefault="00D077D9" w:rsidP="00042351">
      <w:pPr>
        <w:ind w:firstLine="720"/>
      </w:pPr>
      <w:r>
        <w:t xml:space="preserve">Rather than being </w:t>
      </w:r>
      <w:r w:rsidRPr="00765322">
        <w:rPr>
          <w:i/>
          <w:iCs/>
        </w:rPr>
        <w:t>indeterminate</w:t>
      </w:r>
      <w:r>
        <w:t xml:space="preserve">, let us say that such a being is </w:t>
      </w:r>
      <w:proofErr w:type="spellStart"/>
      <w:r>
        <w:rPr>
          <w:i/>
          <w:iCs/>
        </w:rPr>
        <w:t>superdeterminate</w:t>
      </w:r>
      <w:proofErr w:type="spellEnd"/>
      <w:r w:rsidR="00765322">
        <w:t xml:space="preserve">. </w:t>
      </w:r>
      <w:r w:rsidR="00042351">
        <w:t xml:space="preserve">A </w:t>
      </w:r>
      <w:proofErr w:type="spellStart"/>
      <w:r w:rsidR="00B0401B">
        <w:t>superdeteminate</w:t>
      </w:r>
      <w:proofErr w:type="spellEnd"/>
      <w:r w:rsidR="00B0401B">
        <w:t xml:space="preserve"> being avoids </w:t>
      </w:r>
      <w:r w:rsidR="00FF7BCF">
        <w:t>being limited by determination</w:t>
      </w:r>
      <w:r w:rsidR="00B0401B">
        <w:t xml:space="preserve">, because a </w:t>
      </w:r>
      <w:r w:rsidR="00042351">
        <w:t xml:space="preserve">determination is only a limitation insofar as it prevents a thing from existing in other determinate ways, inconsistent with the first. Being triangular, for instance, is a limitation insofar as it prevents the triangular thing from being square, or circular, or some other shape. But since God exists in </w:t>
      </w:r>
      <w:r w:rsidR="00042351" w:rsidRPr="000E009A">
        <w:rPr>
          <w:i/>
          <w:iCs/>
        </w:rPr>
        <w:t>every</w:t>
      </w:r>
      <w:r w:rsidR="00042351">
        <w:t xml:space="preserve"> determinate way, his determinations do not limit him. God, in his absolute </w:t>
      </w:r>
      <w:proofErr w:type="spellStart"/>
      <w:r w:rsidR="00042351">
        <w:lastRenderedPageBreak/>
        <w:t>superdeterminacy</w:t>
      </w:r>
      <w:proofErr w:type="spellEnd"/>
      <w:r w:rsidR="00042351">
        <w:t xml:space="preserve">, can be triangular </w:t>
      </w:r>
      <w:r w:rsidR="00042351">
        <w:rPr>
          <w:i/>
          <w:iCs/>
        </w:rPr>
        <w:t xml:space="preserve">and </w:t>
      </w:r>
      <w:r w:rsidR="00042351">
        <w:t xml:space="preserve">square </w:t>
      </w:r>
      <w:r w:rsidR="00042351" w:rsidRPr="000E009A">
        <w:rPr>
          <w:i/>
          <w:iCs/>
        </w:rPr>
        <w:t>and</w:t>
      </w:r>
      <w:r w:rsidR="00042351">
        <w:t xml:space="preserve"> circular, </w:t>
      </w:r>
      <w:r w:rsidR="00042351" w:rsidRPr="000E009A">
        <w:t>and</w:t>
      </w:r>
      <w:r w:rsidR="00042351">
        <w:t xml:space="preserve"> so on</w:t>
      </w:r>
      <w:r w:rsidR="000618A6">
        <w:t xml:space="preserve">. </w:t>
      </w:r>
      <w:r w:rsidR="00042351">
        <w:t xml:space="preserve">I will return to the apparent contradictions involved in this. </w:t>
      </w:r>
    </w:p>
    <w:p w14:paraId="67AF875B" w14:textId="3FE37F43" w:rsidR="00510132" w:rsidRPr="00510132" w:rsidRDefault="002D2825" w:rsidP="00042351">
      <w:pPr>
        <w:ind w:firstLine="720"/>
      </w:pPr>
      <w:proofErr w:type="spellStart"/>
      <w:r>
        <w:t>Superdeterminacy</w:t>
      </w:r>
      <w:proofErr w:type="spellEnd"/>
      <w:r w:rsidR="00D077D9">
        <w:t xml:space="preserve"> must be sharply distinguished from what Leibniz calls the </w:t>
      </w:r>
      <w:proofErr w:type="spellStart"/>
      <w:r w:rsidR="00D077D9">
        <w:rPr>
          <w:i/>
          <w:iCs/>
        </w:rPr>
        <w:t>hypercategorematic</w:t>
      </w:r>
      <w:proofErr w:type="spellEnd"/>
      <w:r w:rsidR="00D077D9">
        <w:rPr>
          <w:i/>
          <w:iCs/>
        </w:rPr>
        <w:t xml:space="preserve"> infinite</w:t>
      </w:r>
      <w:r w:rsidR="00D077D9">
        <w:t xml:space="preserve">, which Maria Rosa </w:t>
      </w:r>
      <w:proofErr w:type="spellStart"/>
      <w:r w:rsidR="00D077D9">
        <w:t>Antognazza</w:t>
      </w:r>
      <w:proofErr w:type="spellEnd"/>
      <w:r w:rsidR="00D077D9">
        <w:t xml:space="preserve"> describes as pertaining to </w:t>
      </w:r>
      <w:r w:rsidR="00A749F9">
        <w:t>“</w:t>
      </w:r>
      <w:r w:rsidR="00D077D9">
        <w:t xml:space="preserve">a being </w:t>
      </w:r>
      <w:r w:rsidR="00D077D9">
        <w:rPr>
          <w:i/>
          <w:iCs/>
        </w:rPr>
        <w:t xml:space="preserve">beyond all determinations </w:t>
      </w:r>
      <w:r w:rsidR="00D077D9">
        <w:t xml:space="preserve">but </w:t>
      </w:r>
      <w:r w:rsidR="00D077D9">
        <w:rPr>
          <w:i/>
          <w:iCs/>
        </w:rPr>
        <w:t>eminently embracing all determinations</w:t>
      </w:r>
      <w:r w:rsidR="00A749F9">
        <w:t>”</w:t>
      </w:r>
      <w:r w:rsidR="00C4369F">
        <w:t>.</w:t>
      </w:r>
      <w:r w:rsidR="00D077D9" w:rsidRPr="006C277F">
        <w:rPr>
          <w:rStyle w:val="FootnoteReference"/>
        </w:rPr>
        <w:footnoteReference w:id="35"/>
      </w:r>
      <w:r w:rsidR="00D077D9">
        <w:t xml:space="preserve"> Leibniz </w:t>
      </w:r>
      <w:r w:rsidR="00885353">
        <w:t>argues that</w:t>
      </w:r>
      <w:r w:rsidR="00D077D9">
        <w:t xml:space="preserve"> </w:t>
      </w:r>
      <w:r w:rsidR="00A749F9">
        <w:t xml:space="preserve">Spinoza’s </w:t>
      </w:r>
      <w:r w:rsidR="00765322">
        <w:t xml:space="preserve">idea of </w:t>
      </w:r>
      <w:r w:rsidR="00A749F9">
        <w:t>God’s</w:t>
      </w:r>
      <w:r w:rsidR="00C4369F">
        <w:t xml:space="preserve"> infinity – an</w:t>
      </w:r>
      <w:r w:rsidR="00535A5E">
        <w:t xml:space="preserve"> infinit</w:t>
      </w:r>
      <w:r w:rsidR="00C4369F">
        <w:t>y</w:t>
      </w:r>
      <w:r w:rsidR="00535A5E">
        <w:t xml:space="preserve"> that is subject to all determinations, rather than </w:t>
      </w:r>
      <w:r w:rsidR="00A749F9">
        <w:t>“</w:t>
      </w:r>
      <w:r w:rsidR="00535A5E">
        <w:t>eminently embracing</w:t>
      </w:r>
      <w:r w:rsidR="00A749F9">
        <w:t>”</w:t>
      </w:r>
      <w:r w:rsidR="00535A5E">
        <w:t xml:space="preserve"> them</w:t>
      </w:r>
      <w:r w:rsidR="00C4369F">
        <w:t xml:space="preserve"> –</w:t>
      </w:r>
      <w:r w:rsidR="00535A5E">
        <w:t xml:space="preserve"> </w:t>
      </w:r>
      <w:r w:rsidR="00885353">
        <w:t>is</w:t>
      </w:r>
      <w:r w:rsidR="00535A5E">
        <w:t xml:space="preserve"> incoherent</w:t>
      </w:r>
      <w:r w:rsidR="00C4369F">
        <w:t xml:space="preserve">. It implies a contradiction, he </w:t>
      </w:r>
      <w:r w:rsidR="00B62C34">
        <w:t xml:space="preserve">argues, namely </w:t>
      </w:r>
      <w:r w:rsidR="00535A5E">
        <w:t xml:space="preserve">that an </w:t>
      </w:r>
      <w:r w:rsidR="00535A5E" w:rsidRPr="00C4369F">
        <w:rPr>
          <w:i/>
          <w:iCs/>
        </w:rPr>
        <w:t>unlimited</w:t>
      </w:r>
      <w:r w:rsidR="00535A5E">
        <w:t xml:space="preserve"> being is </w:t>
      </w:r>
      <w:r w:rsidR="00535A5E" w:rsidRPr="00C4369F">
        <w:rPr>
          <w:i/>
          <w:iCs/>
        </w:rPr>
        <w:t>limited</w:t>
      </w:r>
      <w:r w:rsidR="00535A5E">
        <w:t xml:space="preserve"> in every possible way</w:t>
      </w:r>
      <w:r w:rsidR="00D077D9">
        <w:t>.</w:t>
      </w:r>
      <w:r w:rsidR="00D077D9" w:rsidRPr="006C277F">
        <w:rPr>
          <w:rStyle w:val="FootnoteReference"/>
        </w:rPr>
        <w:footnoteReference w:id="36"/>
      </w:r>
      <w:r w:rsidR="00D077D9">
        <w:t xml:space="preserve"> But </w:t>
      </w:r>
      <w:r w:rsidR="003912E7">
        <w:t xml:space="preserve">we have already seen how </w:t>
      </w:r>
      <w:r w:rsidR="00C4369F">
        <w:t>Spinoza could reply</w:t>
      </w:r>
      <w:r w:rsidR="003912E7">
        <w:t xml:space="preserve">: </w:t>
      </w:r>
      <w:r w:rsidR="00C4369F">
        <w:t xml:space="preserve">a </w:t>
      </w:r>
      <w:proofErr w:type="spellStart"/>
      <w:r w:rsidR="00C4369F">
        <w:t>superdeterminate</w:t>
      </w:r>
      <w:proofErr w:type="spellEnd"/>
      <w:r w:rsidR="00C4369F">
        <w:t xml:space="preserve"> being is </w:t>
      </w:r>
      <w:r w:rsidR="00C4369F" w:rsidRPr="003912E7">
        <w:t>not</w:t>
      </w:r>
      <w:r w:rsidR="00C4369F">
        <w:t xml:space="preserve"> limited by its determinations, since </w:t>
      </w:r>
      <w:r w:rsidR="0004053A">
        <w:t xml:space="preserve">its </w:t>
      </w:r>
      <w:r w:rsidR="00C4369F">
        <w:t xml:space="preserve">being in any one determination </w:t>
      </w:r>
      <w:r w:rsidR="0004053A">
        <w:t>doesn</w:t>
      </w:r>
      <w:r w:rsidR="00C14DF8">
        <w:t>’</w:t>
      </w:r>
      <w:r w:rsidR="0004053A">
        <w:t>t</w:t>
      </w:r>
      <w:r w:rsidR="00C4369F">
        <w:t xml:space="preserve"> prevent it from being in any others. He could also add</w:t>
      </w:r>
      <w:r w:rsidR="00D077D9">
        <w:t xml:space="preserve"> that</w:t>
      </w:r>
      <w:r w:rsidR="00535A5E">
        <w:t xml:space="preserve"> </w:t>
      </w:r>
      <w:r w:rsidR="00C4369F">
        <w:t xml:space="preserve">the notion of </w:t>
      </w:r>
      <w:r w:rsidR="00535A5E">
        <w:t>Leibniz</w:t>
      </w:r>
      <w:r w:rsidR="00C14DF8">
        <w:t>’</w:t>
      </w:r>
      <w:r w:rsidR="00535A5E">
        <w:t>s</w:t>
      </w:r>
      <w:r w:rsidR="00D077D9">
        <w:t xml:space="preserve"> </w:t>
      </w:r>
      <w:proofErr w:type="spellStart"/>
      <w:r w:rsidR="00D077D9">
        <w:t>hypercategorematic</w:t>
      </w:r>
      <w:proofErr w:type="spellEnd"/>
      <w:r w:rsidR="00D077D9">
        <w:t xml:space="preserve"> being</w:t>
      </w:r>
      <w:r w:rsidR="00535A5E">
        <w:t xml:space="preserve"> </w:t>
      </w:r>
      <w:r w:rsidR="00C4369F">
        <w:t xml:space="preserve">is problematic </w:t>
      </w:r>
      <w:r w:rsidR="00535A5E">
        <w:t>– we have already given</w:t>
      </w:r>
      <w:r w:rsidR="00D077D9">
        <w:t xml:space="preserve"> reasons</w:t>
      </w:r>
      <w:r w:rsidR="00535A5E">
        <w:t xml:space="preserve"> to suspect the</w:t>
      </w:r>
      <w:r w:rsidR="00940791">
        <w:t xml:space="preserve"> coherence of the</w:t>
      </w:r>
      <w:r w:rsidR="00535A5E">
        <w:t xml:space="preserve"> idea of a being </w:t>
      </w:r>
      <w:r w:rsidR="00535A5E" w:rsidRPr="00B03E04">
        <w:rPr>
          <w:i/>
          <w:iCs/>
        </w:rPr>
        <w:t>beyond</w:t>
      </w:r>
      <w:r w:rsidR="00535A5E">
        <w:t xml:space="preserve"> all determinations.</w:t>
      </w:r>
      <w:r w:rsidR="00D077D9">
        <w:t xml:space="preserve"> </w:t>
      </w:r>
      <w:r w:rsidR="00AD5C3A">
        <w:t>Leibniz</w:t>
      </w:r>
      <w:r w:rsidR="00C14DF8">
        <w:t>’</w:t>
      </w:r>
      <w:r w:rsidR="00AD5C3A">
        <w:t xml:space="preserve">s </w:t>
      </w:r>
      <w:proofErr w:type="spellStart"/>
      <w:r w:rsidR="00A01CF7">
        <w:t>hypercategorematic</w:t>
      </w:r>
      <w:proofErr w:type="spellEnd"/>
      <w:r w:rsidR="00A01CF7">
        <w:t xml:space="preserve"> infinite</w:t>
      </w:r>
      <w:r w:rsidR="00AD5C3A">
        <w:t xml:space="preserve"> does, however, seem in line with a </w:t>
      </w:r>
      <w:r w:rsidR="00097497">
        <w:t xml:space="preserve">more </w:t>
      </w:r>
      <w:r w:rsidR="00AD5C3A">
        <w:t xml:space="preserve">traditional picture of God as an unlimited being; it matches the being- and knowledge-transcendent image of the divine nature in </w:t>
      </w:r>
      <w:proofErr w:type="spellStart"/>
      <w:r w:rsidR="00AD5C3A">
        <w:t>Eriugena</w:t>
      </w:r>
      <w:proofErr w:type="spellEnd"/>
      <w:r w:rsidR="00AD5C3A">
        <w:t>.</w:t>
      </w:r>
    </w:p>
    <w:p w14:paraId="2DA12BE3" w14:textId="262DA463" w:rsidR="001C2C3B" w:rsidRDefault="00042351" w:rsidP="001C2C3B">
      <w:pPr>
        <w:ind w:firstLine="720"/>
        <w:rPr>
          <w:rFonts w:cs="Calibri"/>
        </w:rPr>
      </w:pPr>
      <w:r>
        <w:rPr>
          <w:rFonts w:cs="Calibri"/>
        </w:rPr>
        <w:t>W</w:t>
      </w:r>
      <w:r w:rsidR="001C6D48">
        <w:rPr>
          <w:rFonts w:cs="Calibri"/>
        </w:rPr>
        <w:t>e</w:t>
      </w:r>
      <w:r w:rsidR="00535A5E">
        <w:rPr>
          <w:rFonts w:cs="Calibri"/>
        </w:rPr>
        <w:t xml:space="preserve"> now have an answer to the second question above. Why</w:t>
      </w:r>
      <w:r w:rsidR="00A12787">
        <w:rPr>
          <w:rFonts w:cs="Calibri"/>
        </w:rPr>
        <w:t xml:space="preserve">, in </w:t>
      </w:r>
      <w:r w:rsidR="00A749F9">
        <w:rPr>
          <w:rFonts w:cs="Calibri"/>
        </w:rPr>
        <w:t xml:space="preserve">Spinoza’s </w:t>
      </w:r>
      <w:r w:rsidR="00720FF6">
        <w:rPr>
          <w:rFonts w:cs="Calibri"/>
        </w:rPr>
        <w:t>system</w:t>
      </w:r>
      <w:r w:rsidR="00A12787">
        <w:rPr>
          <w:rFonts w:cs="Calibri"/>
        </w:rPr>
        <w:t>,</w:t>
      </w:r>
      <w:r w:rsidR="00535A5E">
        <w:rPr>
          <w:rFonts w:cs="Calibri"/>
        </w:rPr>
        <w:t xml:space="preserve"> should </w:t>
      </w:r>
      <w:r w:rsidR="00A749F9">
        <w:rPr>
          <w:rFonts w:cs="Calibri"/>
        </w:rPr>
        <w:t>God’s</w:t>
      </w:r>
      <w:r w:rsidR="001C6D48">
        <w:rPr>
          <w:rFonts w:cs="Calibri"/>
        </w:rPr>
        <w:t xml:space="preserve"> unlimited nature give rise to a plurality of determinate modes? Understanding </w:t>
      </w:r>
      <w:r w:rsidR="00A749F9">
        <w:rPr>
          <w:rFonts w:cs="Calibri"/>
        </w:rPr>
        <w:t>God’s</w:t>
      </w:r>
      <w:r w:rsidR="001C6D48">
        <w:rPr>
          <w:rFonts w:cs="Calibri"/>
        </w:rPr>
        <w:t xml:space="preserve"> unlimitedness as </w:t>
      </w:r>
      <w:proofErr w:type="spellStart"/>
      <w:r w:rsidR="001C6D48" w:rsidRPr="001C6D48">
        <w:rPr>
          <w:rFonts w:cs="Calibri"/>
          <w:i/>
          <w:iCs/>
        </w:rPr>
        <w:t>superdeterminacy</w:t>
      </w:r>
      <w:proofErr w:type="spellEnd"/>
      <w:r w:rsidR="001C6D48">
        <w:rPr>
          <w:rFonts w:cs="Calibri"/>
        </w:rPr>
        <w:t xml:space="preserve"> explains this. For God to be unlimited, he must be maximally determined. In the first place, as we see in the passage from the </w:t>
      </w:r>
      <w:r w:rsidR="001C6D48">
        <w:rPr>
          <w:rFonts w:cs="Calibri"/>
          <w:i/>
          <w:iCs/>
        </w:rPr>
        <w:t>Short Treatise</w:t>
      </w:r>
      <w:r w:rsidR="001C6D48">
        <w:rPr>
          <w:rFonts w:cs="Calibri"/>
        </w:rPr>
        <w:t xml:space="preserve"> quoted above, this means that unlimited attributes must be ascribed to God. But in the </w:t>
      </w:r>
      <w:r w:rsidR="001C6D48">
        <w:rPr>
          <w:rFonts w:cs="Calibri"/>
          <w:i/>
          <w:iCs/>
        </w:rPr>
        <w:t>Ethics</w:t>
      </w:r>
      <w:r w:rsidR="001C6D48">
        <w:rPr>
          <w:rFonts w:cs="Calibri"/>
        </w:rPr>
        <w:t xml:space="preserve"> Spinoza </w:t>
      </w:r>
      <w:r w:rsidR="003A3D02">
        <w:rPr>
          <w:rFonts w:cs="Calibri"/>
        </w:rPr>
        <w:t xml:space="preserve">states that </w:t>
      </w:r>
      <w:r w:rsidR="003A3D02">
        <w:rPr>
          <w:rFonts w:cs="Calibri"/>
          <w:i/>
          <w:iCs/>
        </w:rPr>
        <w:t>each</w:t>
      </w:r>
      <w:r w:rsidR="003A3D02">
        <w:rPr>
          <w:rFonts w:cs="Calibri"/>
        </w:rPr>
        <w:t xml:space="preserve"> attribute expresses an eternal and infinite essence, presumably God’s</w:t>
      </w:r>
      <w:r>
        <w:rPr>
          <w:rFonts w:cs="Calibri"/>
        </w:rPr>
        <w:t xml:space="preserve"> (E 1def</w:t>
      </w:r>
      <w:r w:rsidR="003A3D02">
        <w:rPr>
          <w:rFonts w:cs="Calibri"/>
        </w:rPr>
        <w:t>6</w:t>
      </w:r>
      <w:r>
        <w:rPr>
          <w:rFonts w:cs="Calibri"/>
        </w:rPr>
        <w:t>)</w:t>
      </w:r>
      <w:r w:rsidR="001C6D48">
        <w:rPr>
          <w:rFonts w:cs="Calibri"/>
        </w:rPr>
        <w:t xml:space="preserve">. </w:t>
      </w:r>
      <w:r w:rsidR="00FD78B2">
        <w:rPr>
          <w:rFonts w:cs="Calibri"/>
        </w:rPr>
        <w:t xml:space="preserve">If </w:t>
      </w:r>
      <w:r w:rsidR="00A749F9">
        <w:rPr>
          <w:rFonts w:cs="Calibri"/>
        </w:rPr>
        <w:t>God’s</w:t>
      </w:r>
      <w:r w:rsidR="001C6D48">
        <w:rPr>
          <w:rFonts w:cs="Calibri"/>
        </w:rPr>
        <w:t xml:space="preserve"> nature is </w:t>
      </w:r>
      <w:proofErr w:type="spellStart"/>
      <w:r w:rsidR="001C6D48">
        <w:rPr>
          <w:rFonts w:cs="Calibri"/>
        </w:rPr>
        <w:t>superdeterminate</w:t>
      </w:r>
      <w:proofErr w:type="spellEnd"/>
      <w:r w:rsidR="00FD78B2">
        <w:rPr>
          <w:rFonts w:cs="Calibri"/>
        </w:rPr>
        <w:t xml:space="preserve"> –</w:t>
      </w:r>
      <w:r w:rsidR="001C6D48">
        <w:rPr>
          <w:rFonts w:cs="Calibri"/>
        </w:rPr>
        <w:t xml:space="preserve"> </w:t>
      </w:r>
      <w:r w:rsidR="00FD78B2">
        <w:rPr>
          <w:rFonts w:cs="Calibri"/>
        </w:rPr>
        <w:t>subject to</w:t>
      </w:r>
      <w:r w:rsidR="001C6D48">
        <w:rPr>
          <w:rFonts w:cs="Calibri"/>
        </w:rPr>
        <w:t xml:space="preserve"> </w:t>
      </w:r>
      <w:r w:rsidR="00B948BA">
        <w:rPr>
          <w:rFonts w:cs="Calibri"/>
        </w:rPr>
        <w:t>unlimited</w:t>
      </w:r>
      <w:r>
        <w:rPr>
          <w:rFonts w:cs="Calibri"/>
        </w:rPr>
        <w:t xml:space="preserve"> determination</w:t>
      </w:r>
      <w:r w:rsidR="00FD78B2">
        <w:rPr>
          <w:rFonts w:cs="Calibri"/>
        </w:rPr>
        <w:t xml:space="preserve">s – then </w:t>
      </w:r>
      <w:proofErr w:type="gramStart"/>
      <w:r w:rsidR="00B948BA">
        <w:rPr>
          <w:rFonts w:cs="Calibri"/>
        </w:rPr>
        <w:t xml:space="preserve">in </w:t>
      </w:r>
      <w:r w:rsidR="00B948BA">
        <w:rPr>
          <w:rFonts w:cs="Calibri"/>
        </w:rPr>
        <w:lastRenderedPageBreak/>
        <w:t>order to</w:t>
      </w:r>
      <w:proofErr w:type="gramEnd"/>
      <w:r w:rsidR="00B948BA">
        <w:rPr>
          <w:rFonts w:cs="Calibri"/>
        </w:rPr>
        <w:t xml:space="preserve"> express that nature</w:t>
      </w:r>
      <w:r>
        <w:rPr>
          <w:rFonts w:cs="Calibri"/>
        </w:rPr>
        <w:t xml:space="preserve"> </w:t>
      </w:r>
      <w:r w:rsidR="00B948BA">
        <w:rPr>
          <w:rFonts w:cs="Calibri"/>
        </w:rPr>
        <w:t xml:space="preserve">each </w:t>
      </w:r>
      <w:r>
        <w:rPr>
          <w:rFonts w:cs="Calibri"/>
        </w:rPr>
        <w:t xml:space="preserve">attribute must </w:t>
      </w:r>
      <w:r w:rsidR="00B948BA">
        <w:rPr>
          <w:rFonts w:cs="Calibri"/>
        </w:rPr>
        <w:t>itself</w:t>
      </w:r>
      <w:r>
        <w:rPr>
          <w:rFonts w:cs="Calibri"/>
        </w:rPr>
        <w:t xml:space="preserve"> be </w:t>
      </w:r>
      <w:r w:rsidR="00B948BA">
        <w:rPr>
          <w:rFonts w:cs="Calibri"/>
        </w:rPr>
        <w:t>subject to</w:t>
      </w:r>
      <w:r>
        <w:rPr>
          <w:rFonts w:cs="Calibri"/>
        </w:rPr>
        <w:t xml:space="preserve"> unlimited determinations: the modes. </w:t>
      </w:r>
      <w:r w:rsidR="001C2C3B">
        <w:rPr>
          <w:rFonts w:cs="Calibri"/>
        </w:rPr>
        <w:t>This</w:t>
      </w:r>
      <w:r w:rsidR="00A27183">
        <w:rPr>
          <w:rFonts w:cs="Calibri"/>
        </w:rPr>
        <w:t xml:space="preserve">, I believe, makes sense of </w:t>
      </w:r>
      <w:proofErr w:type="gramStart"/>
      <w:r w:rsidR="00A27183">
        <w:rPr>
          <w:rFonts w:cs="Calibri"/>
          <w:i/>
          <w:iCs/>
        </w:rPr>
        <w:t>Ethics</w:t>
      </w:r>
      <w:proofErr w:type="gramEnd"/>
      <w:r w:rsidR="00A27183">
        <w:rPr>
          <w:rFonts w:cs="Calibri"/>
        </w:rPr>
        <w:t xml:space="preserve"> </w:t>
      </w:r>
      <w:r w:rsidR="001C2C3B">
        <w:rPr>
          <w:rFonts w:cs="Calibri"/>
        </w:rPr>
        <w:t>1p16 and its demonstration:</w:t>
      </w:r>
    </w:p>
    <w:p w14:paraId="6D28E4D5" w14:textId="6F5FCD6E" w:rsidR="00A37182" w:rsidRDefault="001C2C3B" w:rsidP="001C2C3B">
      <w:pPr>
        <w:pStyle w:val="Quote"/>
      </w:pPr>
      <w:r w:rsidRPr="00A27183">
        <w:rPr>
          <w:rFonts w:cs="Calibri"/>
          <w:b/>
          <w:bCs/>
        </w:rPr>
        <w:t>Proposition 16:</w:t>
      </w:r>
      <w:r>
        <w:rPr>
          <w:rFonts w:cs="Calibri"/>
        </w:rPr>
        <w:t xml:space="preserve"> </w:t>
      </w:r>
      <w:r w:rsidRPr="001C2C3B">
        <w:rPr>
          <w:i/>
          <w:iCs w:val="0"/>
        </w:rPr>
        <w:t xml:space="preserve">From the necessity of the divine nature, an infinity </w:t>
      </w:r>
      <w:r w:rsidR="005528B9">
        <w:rPr>
          <w:i/>
          <w:iCs w:val="0"/>
        </w:rPr>
        <w:t>[of things] in</w:t>
      </w:r>
      <w:r w:rsidRPr="001C2C3B">
        <w:rPr>
          <w:i/>
          <w:iCs w:val="0"/>
        </w:rPr>
        <w:t xml:space="preserve"> infinite </w:t>
      </w:r>
      <w:r w:rsidR="001B0B90">
        <w:rPr>
          <w:i/>
          <w:iCs w:val="0"/>
        </w:rPr>
        <w:t>modes</w:t>
      </w:r>
      <w:r w:rsidRPr="001C2C3B">
        <w:rPr>
          <w:i/>
          <w:iCs w:val="0"/>
        </w:rPr>
        <w:t xml:space="preserve"> (that is,</w:t>
      </w:r>
      <w:r w:rsidRPr="001C2C3B">
        <w:rPr>
          <w:rFonts w:cs="Calibri"/>
          <w:i/>
          <w:iCs w:val="0"/>
        </w:rPr>
        <w:t xml:space="preserve"> </w:t>
      </w:r>
      <w:r w:rsidRPr="001C2C3B">
        <w:rPr>
          <w:i/>
          <w:iCs w:val="0"/>
        </w:rPr>
        <w:t>everything that can fall under an infinite intellect) must follow.</w:t>
      </w:r>
    </w:p>
    <w:p w14:paraId="3C2AD50B" w14:textId="73972B74" w:rsidR="001C2C3B" w:rsidRPr="001C2C3B" w:rsidRDefault="001C2C3B" w:rsidP="001C2C3B">
      <w:pPr>
        <w:pStyle w:val="Quote"/>
      </w:pPr>
      <w:r w:rsidRPr="00A27183">
        <w:rPr>
          <w:b/>
          <w:bCs/>
        </w:rPr>
        <w:t>Demonstration:</w:t>
      </w:r>
      <w:r>
        <w:t xml:space="preserve"> This proposition should be manifest to everyone, if only they </w:t>
      </w:r>
      <w:r w:rsidR="002B131A">
        <w:t>note that from the definition of whatever given thing the intellect infers several properties, which really follow from it (</w:t>
      </w:r>
      <w:proofErr w:type="gramStart"/>
      <w:r w:rsidR="002B131A">
        <w:t>i.e.</w:t>
      </w:r>
      <w:proofErr w:type="gramEnd"/>
      <w:r w:rsidR="002B131A">
        <w:t xml:space="preserve"> the very essence of the thing) necessarily, and more of them, the more reality the definition of the thing expresses – that is, the more reality the essence of the defined thing involves. But since the divine nature has </w:t>
      </w:r>
      <w:proofErr w:type="gramStart"/>
      <w:r w:rsidR="002B131A">
        <w:t>absolutely infinite</w:t>
      </w:r>
      <w:proofErr w:type="gramEnd"/>
      <w:r w:rsidR="002B131A">
        <w:t xml:space="preserve"> attributes (by definition 6), each of which </w:t>
      </w:r>
      <w:r w:rsidR="00C84C52">
        <w:t xml:space="preserve">moreover expresses an infinite essence in its own kind, therefore infinitely many </w:t>
      </w:r>
      <w:r w:rsidR="001B0B90">
        <w:t>[</w:t>
      </w:r>
      <w:r w:rsidR="00C84C52">
        <w:t>things</w:t>
      </w:r>
      <w:r w:rsidR="001B0B90">
        <w:t>]</w:t>
      </w:r>
      <w:r w:rsidR="00C84C52">
        <w:t xml:space="preserve"> in infinite modes (i.e., everything that can fall under an infinite intellect) must necessarily follow from it.</w:t>
      </w:r>
    </w:p>
    <w:p w14:paraId="3EEB385F" w14:textId="030A8387" w:rsidR="001B0B90" w:rsidRDefault="003A3D02" w:rsidP="001B0B90">
      <w:r>
        <w:t xml:space="preserve">I read the demonstration as presenting the following picture. God’s </w:t>
      </w:r>
      <w:r w:rsidR="00FF22EC">
        <w:t>essence</w:t>
      </w:r>
      <w:r>
        <w:t xml:space="preserve">, being </w:t>
      </w:r>
      <w:r w:rsidR="001B0B90">
        <w:t>infinitely real</w:t>
      </w:r>
      <w:r>
        <w:t xml:space="preserve"> </w:t>
      </w:r>
      <w:r w:rsidR="00FF22EC">
        <w:t>and thus</w:t>
      </w:r>
      <w:r>
        <w:t xml:space="preserve"> </w:t>
      </w:r>
      <w:proofErr w:type="spellStart"/>
      <w:r>
        <w:t>superdeterminate</w:t>
      </w:r>
      <w:proofErr w:type="spellEnd"/>
      <w:r>
        <w:t xml:space="preserve">, requires him to </w:t>
      </w:r>
      <w:r w:rsidR="001B0B90">
        <w:t xml:space="preserve">have infinite properties – to be </w:t>
      </w:r>
      <w:r>
        <w:t>determined</w:t>
      </w:r>
      <w:r w:rsidR="006937FF">
        <w:t xml:space="preserve"> </w:t>
      </w:r>
      <w:r w:rsidR="001B0B90">
        <w:t xml:space="preserve">by </w:t>
      </w:r>
      <w:r>
        <w:t>infinite attributes</w:t>
      </w:r>
      <w:r w:rsidR="006937FF">
        <w:t xml:space="preserve"> expressing his essence</w:t>
      </w:r>
      <w:r>
        <w:t xml:space="preserve">. But </w:t>
      </w:r>
      <w:r w:rsidRPr="00FF22EC">
        <w:t>each</w:t>
      </w:r>
      <w:r>
        <w:t xml:space="preserve"> </w:t>
      </w:r>
      <w:r w:rsidR="001B0B90">
        <w:t xml:space="preserve">of these </w:t>
      </w:r>
      <w:r>
        <w:t>attribute</w:t>
      </w:r>
      <w:r w:rsidR="001B0B90">
        <w:t xml:space="preserve">s, </w:t>
      </w:r>
      <w:proofErr w:type="gramStart"/>
      <w:r w:rsidR="001B0B90">
        <w:t>in order</w:t>
      </w:r>
      <w:r w:rsidR="005528B9">
        <w:t xml:space="preserve"> </w:t>
      </w:r>
      <w:r w:rsidR="001B0B90">
        <w:t>t</w:t>
      </w:r>
      <w:r w:rsidR="00FF22EC">
        <w:t>o</w:t>
      </w:r>
      <w:proofErr w:type="gramEnd"/>
      <w:r w:rsidR="001B0B90">
        <w:t xml:space="preserve"> </w:t>
      </w:r>
      <w:r w:rsidR="001B0B90" w:rsidRPr="006937FF">
        <w:t>express</w:t>
      </w:r>
      <w:r w:rsidR="00FF22EC">
        <w:t xml:space="preserve"> </w:t>
      </w:r>
      <w:r w:rsidR="005528B9">
        <w:t>a</w:t>
      </w:r>
      <w:r w:rsidR="00FF22EC">
        <w:t xml:space="preserve"> </w:t>
      </w:r>
      <w:proofErr w:type="spellStart"/>
      <w:r w:rsidR="00FF22EC">
        <w:t>superdeterminate</w:t>
      </w:r>
      <w:proofErr w:type="spellEnd"/>
      <w:r w:rsidR="00FF22EC">
        <w:t xml:space="preserve"> essence</w:t>
      </w:r>
      <w:r w:rsidR="005528B9">
        <w:t>,</w:t>
      </w:r>
      <w:r w:rsidR="00FF22EC">
        <w:t xml:space="preserve"> </w:t>
      </w:r>
      <w:r w:rsidR="001B0B90">
        <w:t xml:space="preserve">must itself be </w:t>
      </w:r>
      <w:proofErr w:type="spellStart"/>
      <w:r w:rsidR="001B0B90">
        <w:t>superdeterminate</w:t>
      </w:r>
      <w:proofErr w:type="spellEnd"/>
      <w:r>
        <w:t xml:space="preserve">. </w:t>
      </w:r>
      <w:r w:rsidR="005528B9">
        <w:t xml:space="preserve">An infinity of </w:t>
      </w:r>
      <w:r w:rsidR="001B0B90">
        <w:t>things thus</w:t>
      </w:r>
      <w:r w:rsidR="005528B9">
        <w:t xml:space="preserve"> </w:t>
      </w:r>
      <w:r w:rsidR="00FF22EC">
        <w:t>arise</w:t>
      </w:r>
      <w:r w:rsidR="005528B9">
        <w:t>s</w:t>
      </w:r>
      <w:r w:rsidR="00FF22EC">
        <w:t xml:space="preserve"> as the </w:t>
      </w:r>
      <w:r>
        <w:t xml:space="preserve">infinity of </w:t>
      </w:r>
      <w:r w:rsidR="00FF22EC">
        <w:t>ways in which</w:t>
      </w:r>
      <w:r>
        <w:t xml:space="preserve"> each </w:t>
      </w:r>
      <w:proofErr w:type="spellStart"/>
      <w:r w:rsidR="00FF22EC">
        <w:t>superdeterminate</w:t>
      </w:r>
      <w:proofErr w:type="spellEnd"/>
      <w:r w:rsidR="00FF22EC">
        <w:t xml:space="preserve"> </w:t>
      </w:r>
      <w:r w:rsidRPr="005528B9">
        <w:t>attribute</w:t>
      </w:r>
      <w:r w:rsidR="00FF22EC">
        <w:t xml:space="preserve"> is determined</w:t>
      </w:r>
      <w:r>
        <w:t>.</w:t>
      </w:r>
      <w:r w:rsidR="00FF22EC">
        <w:t xml:space="preserve"> As we can see from the quotations with which I opened, </w:t>
      </w:r>
      <w:r w:rsidR="005528B9">
        <w:t xml:space="preserve">such </w:t>
      </w:r>
      <w:r w:rsidR="001B0B90">
        <w:t>things</w:t>
      </w:r>
      <w:r w:rsidR="005528B9">
        <w:t xml:space="preserve"> </w:t>
      </w:r>
      <w:r w:rsidR="00FF22EC">
        <w:t>are</w:t>
      </w:r>
      <w:r w:rsidR="005528B9">
        <w:t xml:space="preserve"> also</w:t>
      </w:r>
      <w:r w:rsidR="00FF22EC">
        <w:t xml:space="preserve"> said to express the attributes</w:t>
      </w:r>
      <w:r w:rsidR="005528B9">
        <w:t>,</w:t>
      </w:r>
      <w:r w:rsidR="00FF22EC">
        <w:t xml:space="preserve"> as well as God’s nature</w:t>
      </w:r>
      <w:r w:rsidR="005528B9">
        <w:t xml:space="preserve"> (the latter perhaps transitively). </w:t>
      </w:r>
    </w:p>
    <w:p w14:paraId="12D9C296" w14:textId="31909446" w:rsidR="003A3D02" w:rsidRDefault="005528B9" w:rsidP="001B0B90">
      <w:pPr>
        <w:ind w:firstLine="720"/>
      </w:pPr>
      <w:r>
        <w:t xml:space="preserve">The structure I have outlined here suggests that a consequence should be that each of </w:t>
      </w:r>
      <w:r w:rsidR="001B0B90">
        <w:t>the infinity of</w:t>
      </w:r>
      <w:r>
        <w:t xml:space="preserve"> </w:t>
      </w:r>
      <w:r w:rsidR="001B0B90">
        <w:t>things</w:t>
      </w:r>
      <w:r>
        <w:t xml:space="preserve"> </w:t>
      </w:r>
      <w:r w:rsidR="001B0B90">
        <w:t xml:space="preserve">expressing each attribute </w:t>
      </w:r>
      <w:r>
        <w:t xml:space="preserve">is </w:t>
      </w:r>
      <w:r w:rsidRPr="001B0B90">
        <w:rPr>
          <w:i/>
          <w:iCs/>
        </w:rPr>
        <w:t>also</w:t>
      </w:r>
      <w:r>
        <w:t xml:space="preserve"> </w:t>
      </w:r>
      <w:proofErr w:type="spellStart"/>
      <w:r>
        <w:t>superdeterminate</w:t>
      </w:r>
      <w:proofErr w:type="spellEnd"/>
      <w:r>
        <w:t xml:space="preserve">, </w:t>
      </w:r>
      <w:r w:rsidR="001B0B90">
        <w:t>itself determined in an infinity of ways, each of which is determined in yet another infinity of ways, iterating to infinity</w:t>
      </w:r>
      <w:r>
        <w:t xml:space="preserve">: a sort of fractal of being. I find no explicit statement of this in Spinoza, though perhaps </w:t>
      </w:r>
      <w:r w:rsidR="006937FF">
        <w:t>the first step at least</w:t>
      </w:r>
      <w:r>
        <w:t xml:space="preserve"> is hinted at in the language – </w:t>
      </w:r>
      <w:r w:rsidR="001B0B90">
        <w:t xml:space="preserve">“an infinity in infinite </w:t>
      </w:r>
      <w:r w:rsidR="00503D6C">
        <w:t>modes</w:t>
      </w:r>
      <w:r w:rsidR="001B0B90">
        <w:t xml:space="preserve">” </w:t>
      </w:r>
      <w:proofErr w:type="spellStart"/>
      <w:r>
        <w:rPr>
          <w:i/>
          <w:iCs/>
        </w:rPr>
        <w:t>infinita</w:t>
      </w:r>
      <w:proofErr w:type="spellEnd"/>
      <w:r>
        <w:rPr>
          <w:i/>
          <w:iCs/>
        </w:rPr>
        <w:t xml:space="preserve"> </w:t>
      </w:r>
      <w:proofErr w:type="spellStart"/>
      <w:r>
        <w:rPr>
          <w:i/>
          <w:iCs/>
        </w:rPr>
        <w:t>in</w:t>
      </w:r>
      <w:r w:rsidR="001B0B90">
        <w:rPr>
          <w:i/>
          <w:iCs/>
        </w:rPr>
        <w:t>finitis</w:t>
      </w:r>
      <w:proofErr w:type="spellEnd"/>
      <w:r w:rsidR="001B0B90">
        <w:rPr>
          <w:i/>
          <w:iCs/>
        </w:rPr>
        <w:t xml:space="preserve"> </w:t>
      </w:r>
      <w:proofErr w:type="spellStart"/>
      <w:r w:rsidR="001B0B90">
        <w:rPr>
          <w:i/>
          <w:iCs/>
        </w:rPr>
        <w:t>modis</w:t>
      </w:r>
      <w:proofErr w:type="spellEnd"/>
      <w:r w:rsidR="001B0B90">
        <w:t xml:space="preserve"> – of the proposition.</w:t>
      </w:r>
    </w:p>
    <w:p w14:paraId="46D86EA2" w14:textId="5F46AE2A" w:rsidR="001B0B90" w:rsidRPr="001B0B90" w:rsidRDefault="001B0B90" w:rsidP="003A3D02">
      <w:r>
        <w:tab/>
        <w:t xml:space="preserve">What is established is that the attributes express God’s essence, and </w:t>
      </w:r>
      <w:r>
        <w:rPr>
          <w:i/>
          <w:iCs/>
        </w:rPr>
        <w:t>because</w:t>
      </w:r>
      <w:r>
        <w:t xml:space="preserve"> they express God’s essence – an essence whose infinite nature is such as to be determined in an infinity of ways – they are in turn expressed by an infinity </w:t>
      </w:r>
      <w:r w:rsidR="00D0751A">
        <w:t xml:space="preserve">of things </w:t>
      </w:r>
      <w:r>
        <w:t>in infinite ways.</w:t>
      </w:r>
    </w:p>
    <w:p w14:paraId="7DDEFB55" w14:textId="2C27EDC7" w:rsidR="00C84C52" w:rsidRDefault="00C84C52" w:rsidP="00C84C52">
      <w:pPr>
        <w:pStyle w:val="Heading1"/>
      </w:pPr>
      <w:r>
        <w:lastRenderedPageBreak/>
        <w:t>5. Apparent Contradictions</w:t>
      </w:r>
    </w:p>
    <w:p w14:paraId="7A439FAA" w14:textId="77777777" w:rsidR="00717172" w:rsidRDefault="006D565F" w:rsidP="001A4846">
      <w:pPr>
        <w:rPr>
          <w:rFonts w:cs="Calibri"/>
        </w:rPr>
      </w:pPr>
      <w:r>
        <w:rPr>
          <w:rFonts w:cs="Calibri"/>
        </w:rPr>
        <w:t xml:space="preserve">I began by proposing, drawing on Neoplatonic </w:t>
      </w:r>
      <w:r w:rsidR="00A27183">
        <w:rPr>
          <w:rFonts w:cs="Calibri"/>
        </w:rPr>
        <w:t>theopha</w:t>
      </w:r>
      <w:r w:rsidR="00DE7D05">
        <w:rPr>
          <w:rFonts w:cs="Calibri"/>
        </w:rPr>
        <w:t>ny</w:t>
      </w:r>
      <w:r>
        <w:rPr>
          <w:rFonts w:cs="Calibri"/>
        </w:rPr>
        <w:t xml:space="preserve">, that there are three relations that could be covered by </w:t>
      </w:r>
      <w:r w:rsidR="00A749F9">
        <w:rPr>
          <w:rFonts w:cs="Calibri"/>
        </w:rPr>
        <w:t>“</w:t>
      </w:r>
      <w:r>
        <w:rPr>
          <w:rFonts w:cs="Calibri"/>
        </w:rPr>
        <w:t>expression</w:t>
      </w:r>
      <w:r w:rsidR="00A749F9">
        <w:rPr>
          <w:rFonts w:cs="Calibri"/>
        </w:rPr>
        <w:t>”</w:t>
      </w:r>
      <w:r>
        <w:rPr>
          <w:rFonts w:cs="Calibri"/>
        </w:rPr>
        <w:t xml:space="preserve">: identity, manifestation, and efficient causation. </w:t>
      </w:r>
      <w:r w:rsidR="001B0B90">
        <w:rPr>
          <w:rFonts w:cs="Calibri"/>
        </w:rPr>
        <w:t xml:space="preserve">We can see how the second and third of these apply to the expression of God’s essence by the attributes and the attributes by </w:t>
      </w:r>
      <w:r w:rsidR="00717172">
        <w:rPr>
          <w:rFonts w:cs="Calibri"/>
        </w:rPr>
        <w:t xml:space="preserve">an infinity of things. God’s essence efficiently </w:t>
      </w:r>
      <w:proofErr w:type="gramStart"/>
      <w:r w:rsidR="00717172">
        <w:rPr>
          <w:rFonts w:cs="Calibri"/>
        </w:rPr>
        <w:t>cause</w:t>
      </w:r>
      <w:proofErr w:type="gramEnd"/>
      <w:r w:rsidR="00717172">
        <w:rPr>
          <w:rFonts w:cs="Calibri"/>
        </w:rPr>
        <w:t xml:space="preserve"> the attributes, which manifest it, and each attribute efficiently causes an infinity of things in infinite modes, which manifest </w:t>
      </w:r>
      <w:r w:rsidR="00717172" w:rsidRPr="00717172">
        <w:rPr>
          <w:rFonts w:cs="Calibri"/>
          <w:i/>
          <w:iCs/>
        </w:rPr>
        <w:t>it</w:t>
      </w:r>
      <w:r w:rsidR="00717172">
        <w:rPr>
          <w:rFonts w:cs="Calibri"/>
        </w:rPr>
        <w:t>.</w:t>
      </w:r>
    </w:p>
    <w:p w14:paraId="65897973" w14:textId="1C2AF4FB" w:rsidR="0046354F" w:rsidRDefault="00717172" w:rsidP="00717172">
      <w:pPr>
        <w:ind w:firstLine="720"/>
        <w:rPr>
          <w:rFonts w:cs="Calibri"/>
        </w:rPr>
      </w:pPr>
      <w:r>
        <w:rPr>
          <w:rFonts w:cs="Calibri"/>
        </w:rPr>
        <w:t xml:space="preserve">The relation of </w:t>
      </w:r>
      <w:r>
        <w:rPr>
          <w:rFonts w:cs="Calibri"/>
          <w:i/>
          <w:iCs/>
        </w:rPr>
        <w:t>identity</w:t>
      </w:r>
      <w:r>
        <w:rPr>
          <w:rFonts w:cs="Calibri"/>
        </w:rPr>
        <w:t xml:space="preserve">, however, leads to potential </w:t>
      </w:r>
      <w:r w:rsidR="006D565F">
        <w:rPr>
          <w:rFonts w:cs="Calibri"/>
        </w:rPr>
        <w:t>contradiction</w:t>
      </w:r>
      <w:r>
        <w:rPr>
          <w:rFonts w:cs="Calibri"/>
        </w:rPr>
        <w:t>s</w:t>
      </w:r>
      <w:r w:rsidR="006D565F">
        <w:rPr>
          <w:rFonts w:cs="Calibri"/>
        </w:rPr>
        <w:t xml:space="preserve">. </w:t>
      </w:r>
      <w:r w:rsidR="00A749F9">
        <w:rPr>
          <w:rFonts w:cs="Calibri"/>
        </w:rPr>
        <w:t>God’s</w:t>
      </w:r>
      <w:r w:rsidR="006D565F">
        <w:rPr>
          <w:rFonts w:cs="Calibri"/>
        </w:rPr>
        <w:t xml:space="preserve"> unlimited nature entails </w:t>
      </w:r>
      <w:proofErr w:type="spellStart"/>
      <w:r w:rsidR="006D565F">
        <w:rPr>
          <w:rFonts w:cs="Calibri"/>
        </w:rPr>
        <w:t>superdeterminacy</w:t>
      </w:r>
      <w:proofErr w:type="spellEnd"/>
      <w:r w:rsidR="00E3443B">
        <w:rPr>
          <w:rFonts w:cs="Calibri"/>
        </w:rPr>
        <w:t xml:space="preserve"> rather than indeterminacy</w:t>
      </w:r>
      <w:r w:rsidR="006D565F">
        <w:rPr>
          <w:rFonts w:cs="Calibri"/>
        </w:rPr>
        <w:t>: determination in every possible way</w:t>
      </w:r>
      <w:r w:rsidR="00E3443B">
        <w:rPr>
          <w:rFonts w:cs="Calibri"/>
        </w:rPr>
        <w:t xml:space="preserve"> rather than absence of all determination</w:t>
      </w:r>
      <w:r w:rsidR="006D565F">
        <w:rPr>
          <w:rFonts w:cs="Calibri"/>
        </w:rPr>
        <w:t xml:space="preserve">. </w:t>
      </w:r>
      <w:r>
        <w:rPr>
          <w:rFonts w:cs="Calibri"/>
        </w:rPr>
        <w:t>E</w:t>
      </w:r>
      <w:r w:rsidR="006D565F">
        <w:rPr>
          <w:rFonts w:cs="Calibri"/>
        </w:rPr>
        <w:t>ach attribute is determinate</w:t>
      </w:r>
      <w:r w:rsidR="00E3443B">
        <w:rPr>
          <w:rFonts w:cs="Calibri"/>
        </w:rPr>
        <w:t xml:space="preserve"> in the sense that, as Spinoza writes</w:t>
      </w:r>
      <w:r w:rsidR="00294A93">
        <w:rPr>
          <w:rFonts w:cs="Calibri"/>
        </w:rPr>
        <w:t>,</w:t>
      </w:r>
      <w:r w:rsidR="00E3443B">
        <w:rPr>
          <w:rFonts w:cs="Calibri"/>
        </w:rPr>
        <w:t xml:space="preserve"> </w:t>
      </w:r>
      <w:r w:rsidR="00A749F9">
        <w:rPr>
          <w:rFonts w:cs="Calibri"/>
        </w:rPr>
        <w:t>“</w:t>
      </w:r>
      <w:r w:rsidR="00E3443B">
        <w:rPr>
          <w:rFonts w:cs="Calibri"/>
        </w:rPr>
        <w:t>we can deny infinite attributes of it</w:t>
      </w:r>
      <w:r w:rsidR="00A749F9">
        <w:rPr>
          <w:rFonts w:cs="Calibri"/>
        </w:rPr>
        <w:t>”</w:t>
      </w:r>
      <w:r w:rsidR="00E3443B">
        <w:rPr>
          <w:rFonts w:cs="Calibri"/>
        </w:rPr>
        <w:t xml:space="preserve"> (E 1def6expl). The attribute of thought, for example, is limited </w:t>
      </w:r>
      <w:r>
        <w:rPr>
          <w:rFonts w:cs="Calibri"/>
        </w:rPr>
        <w:t xml:space="preserve">in that we deny of </w:t>
      </w:r>
      <w:proofErr w:type="gramStart"/>
      <w:r>
        <w:rPr>
          <w:rFonts w:cs="Calibri"/>
        </w:rPr>
        <w:t>it</w:t>
      </w:r>
      <w:proofErr w:type="gramEnd"/>
      <w:r w:rsidR="00E3443B">
        <w:rPr>
          <w:rFonts w:cs="Calibri"/>
        </w:rPr>
        <w:t xml:space="preserve"> extension</w:t>
      </w:r>
      <w:r>
        <w:rPr>
          <w:rFonts w:cs="Calibri"/>
        </w:rPr>
        <w:t xml:space="preserve"> and an </w:t>
      </w:r>
      <w:r w:rsidR="00E3443B">
        <w:rPr>
          <w:rFonts w:cs="Calibri"/>
        </w:rPr>
        <w:t xml:space="preserve">infinity of other attributes (unknown to us, but necessarily existing given </w:t>
      </w:r>
      <w:r w:rsidR="00A749F9">
        <w:rPr>
          <w:rFonts w:cs="Calibri"/>
        </w:rPr>
        <w:t>God’s</w:t>
      </w:r>
      <w:r w:rsidR="00E3443B">
        <w:rPr>
          <w:rFonts w:cs="Calibri"/>
        </w:rPr>
        <w:t xml:space="preserve"> </w:t>
      </w:r>
      <w:proofErr w:type="spellStart"/>
      <w:r w:rsidR="00E3443B">
        <w:rPr>
          <w:rFonts w:cs="Calibri"/>
        </w:rPr>
        <w:t>superdeterminate</w:t>
      </w:r>
      <w:proofErr w:type="spellEnd"/>
      <w:r w:rsidR="00E3443B">
        <w:rPr>
          <w:rFonts w:cs="Calibri"/>
        </w:rPr>
        <w:t xml:space="preserve"> nature)</w:t>
      </w:r>
      <w:r w:rsidR="00E01990">
        <w:rPr>
          <w:rFonts w:cs="Calibri"/>
        </w:rPr>
        <w:t>.</w:t>
      </w:r>
      <w:r>
        <w:rPr>
          <w:rFonts w:cs="Calibri"/>
        </w:rPr>
        <w:t xml:space="preserve"> </w:t>
      </w:r>
      <w:r w:rsidR="00E01990">
        <w:rPr>
          <w:rFonts w:cs="Calibri"/>
        </w:rPr>
        <w:t>T</w:t>
      </w:r>
      <w:r>
        <w:rPr>
          <w:rFonts w:cs="Calibri"/>
        </w:rPr>
        <w:t xml:space="preserve">his is what determines </w:t>
      </w:r>
      <w:r w:rsidR="00E01990">
        <w:rPr>
          <w:rFonts w:cs="Calibri"/>
        </w:rPr>
        <w:t>the attribute</w:t>
      </w:r>
      <w:r>
        <w:rPr>
          <w:rFonts w:cs="Calibri"/>
        </w:rPr>
        <w:t xml:space="preserve"> as thought and not extension or anything else</w:t>
      </w:r>
      <w:r w:rsidR="00E3443B">
        <w:rPr>
          <w:rFonts w:cs="Calibri"/>
        </w:rPr>
        <w:t xml:space="preserve">. </w:t>
      </w:r>
      <w:r w:rsidR="00A749F9">
        <w:rPr>
          <w:rFonts w:cs="Calibri"/>
        </w:rPr>
        <w:t>God’s</w:t>
      </w:r>
      <w:r w:rsidR="00294A93">
        <w:rPr>
          <w:rFonts w:cs="Calibri"/>
        </w:rPr>
        <w:t xml:space="preserve"> </w:t>
      </w:r>
      <w:proofErr w:type="spellStart"/>
      <w:r w:rsidR="00294A93">
        <w:rPr>
          <w:rFonts w:cs="Calibri"/>
        </w:rPr>
        <w:t>superdeterminacy</w:t>
      </w:r>
      <w:proofErr w:type="spellEnd"/>
      <w:r w:rsidR="00294A93">
        <w:rPr>
          <w:rFonts w:cs="Calibri"/>
        </w:rPr>
        <w:t xml:space="preserve">, we have seen, requires </w:t>
      </w:r>
      <w:r w:rsidR="00294A93">
        <w:rPr>
          <w:rFonts w:cs="Calibri"/>
          <w:i/>
          <w:iCs/>
        </w:rPr>
        <w:t>him</w:t>
      </w:r>
      <w:r w:rsidR="00294A93">
        <w:rPr>
          <w:rFonts w:cs="Calibri"/>
        </w:rPr>
        <w:t xml:space="preserve"> to be determined in every possible way – otherwise he would </w:t>
      </w:r>
      <w:r w:rsidR="00C4369F">
        <w:rPr>
          <w:rFonts w:cs="Calibri"/>
        </w:rPr>
        <w:t xml:space="preserve">be </w:t>
      </w:r>
      <w:r w:rsidR="00294A93">
        <w:rPr>
          <w:rFonts w:cs="Calibri"/>
        </w:rPr>
        <w:t xml:space="preserve">indeterminate rather than </w:t>
      </w:r>
      <w:proofErr w:type="spellStart"/>
      <w:r w:rsidR="00294A93">
        <w:rPr>
          <w:rFonts w:cs="Calibri"/>
        </w:rPr>
        <w:t>superdeterminate</w:t>
      </w:r>
      <w:proofErr w:type="spellEnd"/>
      <w:r w:rsidR="00294A93">
        <w:rPr>
          <w:rFonts w:cs="Calibri"/>
        </w:rPr>
        <w:t xml:space="preserve">. If the determinateness of the attributes </w:t>
      </w:r>
      <w:r w:rsidR="00EF7CCF">
        <w:rPr>
          <w:rFonts w:cs="Calibri"/>
        </w:rPr>
        <w:t>realises</w:t>
      </w:r>
      <w:r w:rsidR="00294A93">
        <w:rPr>
          <w:rFonts w:cs="Calibri"/>
        </w:rPr>
        <w:t xml:space="preserve"> this </w:t>
      </w:r>
      <w:r w:rsidR="00EF7CCF">
        <w:rPr>
          <w:rFonts w:cs="Calibri"/>
        </w:rPr>
        <w:t xml:space="preserve">condition, </w:t>
      </w:r>
      <w:r w:rsidR="00294A93">
        <w:rPr>
          <w:rFonts w:cs="Calibri"/>
        </w:rPr>
        <w:t xml:space="preserve">then </w:t>
      </w:r>
      <w:r w:rsidR="00A749F9">
        <w:rPr>
          <w:rFonts w:cs="Calibri"/>
        </w:rPr>
        <w:t>God’s</w:t>
      </w:r>
      <w:r w:rsidR="009D0C00">
        <w:rPr>
          <w:rFonts w:cs="Calibri"/>
        </w:rPr>
        <w:t xml:space="preserve"> nature</w:t>
      </w:r>
      <w:r w:rsidR="00294A93">
        <w:rPr>
          <w:rFonts w:cs="Calibri"/>
        </w:rPr>
        <w:t xml:space="preserve"> must be in some sense identical with the attributes.</w:t>
      </w:r>
      <w:r w:rsidR="009D0C00">
        <w:rPr>
          <w:rStyle w:val="FootnoteReference"/>
          <w:rFonts w:cs="Calibri"/>
        </w:rPr>
        <w:footnoteReference w:id="37"/>
      </w:r>
      <w:r w:rsidR="00294A93">
        <w:rPr>
          <w:rFonts w:cs="Calibri"/>
        </w:rPr>
        <w:t xml:space="preserve"> Meanwhile, in addition to all </w:t>
      </w:r>
      <w:r w:rsidR="00B91F6F">
        <w:rPr>
          <w:rFonts w:cs="Calibri"/>
        </w:rPr>
        <w:t xml:space="preserve">the </w:t>
      </w:r>
      <w:r w:rsidR="00294A93">
        <w:rPr>
          <w:rFonts w:cs="Calibri"/>
        </w:rPr>
        <w:t xml:space="preserve">ways in which the attributes are determinate, there are all the ways in which the </w:t>
      </w:r>
      <w:r>
        <w:rPr>
          <w:rFonts w:cs="Calibri"/>
        </w:rPr>
        <w:t>things expressing the attributes</w:t>
      </w:r>
      <w:r w:rsidR="00294A93">
        <w:rPr>
          <w:rFonts w:cs="Calibri"/>
        </w:rPr>
        <w:t xml:space="preserve"> are determinate. </w:t>
      </w:r>
      <w:r>
        <w:rPr>
          <w:rFonts w:cs="Calibri"/>
        </w:rPr>
        <w:t>M</w:t>
      </w:r>
      <w:r w:rsidR="00294A93">
        <w:rPr>
          <w:rFonts w:cs="Calibri"/>
        </w:rPr>
        <w:t>y mind</w:t>
      </w:r>
      <w:r>
        <w:rPr>
          <w:rFonts w:cs="Calibri"/>
        </w:rPr>
        <w:t>, e.g.,</w:t>
      </w:r>
      <w:r w:rsidR="00294A93">
        <w:rPr>
          <w:rFonts w:cs="Calibri"/>
        </w:rPr>
        <w:t xml:space="preserve"> is determinate by not being your mind, nor </w:t>
      </w:r>
      <w:r w:rsidR="00A749F9">
        <w:rPr>
          <w:rFonts w:cs="Calibri"/>
        </w:rPr>
        <w:t xml:space="preserve">Spinoza’s </w:t>
      </w:r>
      <w:r w:rsidR="00294A93">
        <w:rPr>
          <w:rFonts w:cs="Calibri"/>
        </w:rPr>
        <w:t xml:space="preserve">mind, etc. If God is to be </w:t>
      </w:r>
      <w:r w:rsidR="00294A93" w:rsidRPr="00294A93">
        <w:rPr>
          <w:rFonts w:cs="Calibri"/>
          <w:i/>
          <w:iCs/>
        </w:rPr>
        <w:t>maximally</w:t>
      </w:r>
      <w:r w:rsidR="00294A93">
        <w:rPr>
          <w:rFonts w:cs="Calibri"/>
        </w:rPr>
        <w:t xml:space="preserve"> determined, as </w:t>
      </w:r>
      <w:proofErr w:type="spellStart"/>
      <w:r w:rsidR="00294A93">
        <w:rPr>
          <w:rFonts w:cs="Calibri"/>
        </w:rPr>
        <w:t>superdeterminacy</w:t>
      </w:r>
      <w:proofErr w:type="spellEnd"/>
      <w:r w:rsidR="00294A93">
        <w:rPr>
          <w:rFonts w:cs="Calibri"/>
        </w:rPr>
        <w:t xml:space="preserve"> requires, then he must also be determined </w:t>
      </w:r>
      <w:r w:rsidR="00F529D0">
        <w:rPr>
          <w:rFonts w:cs="Calibri"/>
        </w:rPr>
        <w:t xml:space="preserve">in </w:t>
      </w:r>
      <w:r w:rsidR="00294A93">
        <w:rPr>
          <w:rFonts w:cs="Calibri"/>
        </w:rPr>
        <w:t xml:space="preserve">all these </w:t>
      </w:r>
      <w:r>
        <w:rPr>
          <w:rFonts w:cs="Calibri"/>
        </w:rPr>
        <w:t xml:space="preserve">further </w:t>
      </w:r>
      <w:r w:rsidR="00294A93">
        <w:rPr>
          <w:rFonts w:cs="Calibri"/>
        </w:rPr>
        <w:t xml:space="preserve">ways. </w:t>
      </w:r>
      <w:proofErr w:type="gramStart"/>
      <w:r w:rsidR="00294A93">
        <w:rPr>
          <w:rFonts w:cs="Calibri"/>
        </w:rPr>
        <w:t>Therefore</w:t>
      </w:r>
      <w:proofErr w:type="gramEnd"/>
      <w:r w:rsidR="00294A93">
        <w:rPr>
          <w:rFonts w:cs="Calibri"/>
        </w:rPr>
        <w:t xml:space="preserve"> God must also be in some sense identical with the modes. </w:t>
      </w:r>
      <w:r w:rsidR="0046354F">
        <w:rPr>
          <w:rFonts w:cs="Calibri"/>
        </w:rPr>
        <w:t xml:space="preserve">Note that the barrier to pantheism we found in </w:t>
      </w:r>
      <w:proofErr w:type="spellStart"/>
      <w:r w:rsidR="0046354F">
        <w:rPr>
          <w:rFonts w:cs="Calibri"/>
        </w:rPr>
        <w:t>Eriugena</w:t>
      </w:r>
      <w:proofErr w:type="spellEnd"/>
      <w:r w:rsidR="0046354F">
        <w:rPr>
          <w:rFonts w:cs="Calibri"/>
        </w:rPr>
        <w:t xml:space="preserve"> – the fact that God </w:t>
      </w:r>
      <w:r w:rsidR="0046354F">
        <w:rPr>
          <w:rFonts w:cs="Calibri"/>
        </w:rPr>
        <w:lastRenderedPageBreak/>
        <w:t>transcends all being and determination – is not present in Spinoza if</w:t>
      </w:r>
      <w:r w:rsidR="005F7064">
        <w:rPr>
          <w:rFonts w:cs="Calibri"/>
        </w:rPr>
        <w:t xml:space="preserve"> </w:t>
      </w:r>
      <w:r w:rsidR="0046354F">
        <w:rPr>
          <w:rFonts w:cs="Calibri"/>
        </w:rPr>
        <w:t xml:space="preserve">his God should be taken as </w:t>
      </w:r>
      <w:proofErr w:type="spellStart"/>
      <w:r w:rsidR="0046354F">
        <w:rPr>
          <w:rFonts w:cs="Calibri"/>
        </w:rPr>
        <w:t>superdeterminate</w:t>
      </w:r>
      <w:proofErr w:type="spellEnd"/>
      <w:r w:rsidR="0046354F">
        <w:rPr>
          <w:rFonts w:cs="Calibri"/>
        </w:rPr>
        <w:t xml:space="preserve"> rather than indeterminate.</w:t>
      </w:r>
    </w:p>
    <w:p w14:paraId="5A042289" w14:textId="4D8A3DC2" w:rsidR="002B726D" w:rsidRDefault="005A453E" w:rsidP="00B8176A">
      <w:pPr>
        <w:ind w:firstLine="720"/>
      </w:pPr>
      <w:r>
        <w:rPr>
          <w:rFonts w:cs="Calibri"/>
        </w:rPr>
        <w:t xml:space="preserve">Does identifying God with both the attributes and the modes lead to contradiction? </w:t>
      </w:r>
      <w:r w:rsidR="005A12B9">
        <w:rPr>
          <w:rFonts w:cs="Calibri"/>
        </w:rPr>
        <w:t>We might try to deny the apparent contradiction involved in</w:t>
      </w:r>
      <w:r>
        <w:rPr>
          <w:rFonts w:cs="Calibri"/>
        </w:rPr>
        <w:t xml:space="preserve"> the case of the attributes.</w:t>
      </w:r>
      <w:r w:rsidR="005A12B9">
        <w:rPr>
          <w:rFonts w:cs="Calibri"/>
        </w:rPr>
        <w:t xml:space="preserve"> </w:t>
      </w:r>
      <w:r>
        <w:rPr>
          <w:rFonts w:cs="Calibri"/>
        </w:rPr>
        <w:t xml:space="preserve">True, the view entails that </w:t>
      </w:r>
      <w:r w:rsidR="005A12B9">
        <w:rPr>
          <w:rFonts w:cs="Calibri"/>
        </w:rPr>
        <w:t xml:space="preserve">God is identical with </w:t>
      </w:r>
      <w:r w:rsidR="009D0C00">
        <w:rPr>
          <w:rFonts w:cs="Calibri"/>
        </w:rPr>
        <w:t xml:space="preserve">a </w:t>
      </w:r>
      <w:r w:rsidR="00F62C30">
        <w:rPr>
          <w:rFonts w:cs="Calibri"/>
        </w:rPr>
        <w:t>plurality</w:t>
      </w:r>
      <w:r w:rsidR="009D0C00">
        <w:rPr>
          <w:rFonts w:cs="Calibri"/>
        </w:rPr>
        <w:t xml:space="preserve"> of </w:t>
      </w:r>
      <w:r w:rsidR="00F62C30">
        <w:rPr>
          <w:rFonts w:cs="Calibri"/>
        </w:rPr>
        <w:t>diverse</w:t>
      </w:r>
      <w:r w:rsidR="009D0C00">
        <w:rPr>
          <w:rFonts w:cs="Calibri"/>
        </w:rPr>
        <w:t xml:space="preserve"> attributes</w:t>
      </w:r>
      <w:r w:rsidR="005A12B9">
        <w:rPr>
          <w:rFonts w:cs="Calibri"/>
        </w:rPr>
        <w:t xml:space="preserve">. </w:t>
      </w:r>
      <w:r>
        <w:rPr>
          <w:rFonts w:cs="Calibri"/>
        </w:rPr>
        <w:t>But these</w:t>
      </w:r>
      <w:r w:rsidR="005A12B9">
        <w:rPr>
          <w:rFonts w:cs="Calibri"/>
        </w:rPr>
        <w:t xml:space="preserve"> are, we might reply, </w:t>
      </w:r>
      <w:r w:rsidR="005A12B9">
        <w:rPr>
          <w:rFonts w:cs="Calibri"/>
          <w:i/>
          <w:iCs/>
        </w:rPr>
        <w:t xml:space="preserve">non </w:t>
      </w:r>
      <w:proofErr w:type="spellStart"/>
      <w:r w:rsidR="005A12B9">
        <w:rPr>
          <w:rFonts w:cs="Calibri"/>
          <w:i/>
          <w:iCs/>
        </w:rPr>
        <w:t>opposita</w:t>
      </w:r>
      <w:proofErr w:type="spellEnd"/>
      <w:r w:rsidR="005A12B9">
        <w:rPr>
          <w:rFonts w:cs="Calibri"/>
          <w:i/>
          <w:iCs/>
        </w:rPr>
        <w:t xml:space="preserve"> sed </w:t>
      </w:r>
      <w:proofErr w:type="spellStart"/>
      <w:r w:rsidR="005A12B9">
        <w:rPr>
          <w:rFonts w:cs="Calibri"/>
          <w:i/>
          <w:iCs/>
        </w:rPr>
        <w:t>diversa</w:t>
      </w:r>
      <w:proofErr w:type="spellEnd"/>
      <w:r w:rsidR="005A12B9">
        <w:rPr>
          <w:rFonts w:cs="Calibri"/>
        </w:rPr>
        <w:t>.</w:t>
      </w:r>
      <w:r w:rsidR="005A12B9">
        <w:rPr>
          <w:rStyle w:val="FootnoteReference"/>
          <w:rFonts w:cs="Calibri"/>
        </w:rPr>
        <w:footnoteReference w:id="38"/>
      </w:r>
      <w:r w:rsidR="00B66AF7">
        <w:rPr>
          <w:rFonts w:cs="Calibri"/>
        </w:rPr>
        <w:t xml:space="preserve"> </w:t>
      </w:r>
      <w:r w:rsidR="009C5471">
        <w:rPr>
          <w:rFonts w:cs="Calibri"/>
        </w:rPr>
        <w:t xml:space="preserve">There is at least no </w:t>
      </w:r>
      <w:r w:rsidR="009C5471" w:rsidRPr="009C5471">
        <w:rPr>
          <w:rFonts w:cs="Calibri"/>
        </w:rPr>
        <w:t>contradiction</w:t>
      </w:r>
      <w:r w:rsidR="009C5471">
        <w:rPr>
          <w:rFonts w:cs="Calibri"/>
        </w:rPr>
        <w:t xml:space="preserve"> involved in being identical with all of them. </w:t>
      </w:r>
      <w:r w:rsidR="00A11651">
        <w:rPr>
          <w:rFonts w:cs="Calibri"/>
        </w:rPr>
        <w:t>W</w:t>
      </w:r>
      <w:r w:rsidR="005A12B9">
        <w:rPr>
          <w:rFonts w:cs="Calibri"/>
        </w:rPr>
        <w:t xml:space="preserve">hen it comes to the modes, </w:t>
      </w:r>
      <w:r w:rsidR="00A11651">
        <w:rPr>
          <w:rFonts w:cs="Calibri"/>
        </w:rPr>
        <w:t xml:space="preserve">however, </w:t>
      </w:r>
      <w:r w:rsidR="005A12B9">
        <w:rPr>
          <w:rFonts w:cs="Calibri"/>
        </w:rPr>
        <w:t xml:space="preserve">we have things that </w:t>
      </w:r>
      <w:r w:rsidR="001A5B51">
        <w:rPr>
          <w:rFonts w:cs="Calibri"/>
        </w:rPr>
        <w:t xml:space="preserve">seem very plainly </w:t>
      </w:r>
      <w:proofErr w:type="spellStart"/>
      <w:r w:rsidR="005A12B9">
        <w:rPr>
          <w:rFonts w:cs="Calibri"/>
          <w:i/>
          <w:iCs/>
        </w:rPr>
        <w:t>opposita</w:t>
      </w:r>
      <w:proofErr w:type="spellEnd"/>
      <w:r w:rsidR="005E3D18">
        <w:rPr>
          <w:rFonts w:cs="Calibri"/>
        </w:rPr>
        <w:t xml:space="preserve">. </w:t>
      </w:r>
      <w:r w:rsidR="00194EA9">
        <w:rPr>
          <w:rFonts w:cs="Calibri"/>
        </w:rPr>
        <w:t xml:space="preserve">I love yum cha, </w:t>
      </w:r>
      <w:r w:rsidR="001A4846">
        <w:rPr>
          <w:rFonts w:cs="Calibri"/>
        </w:rPr>
        <w:t xml:space="preserve">but Jones, a </w:t>
      </w:r>
      <w:r w:rsidR="008508BF">
        <w:rPr>
          <w:rFonts w:cs="Calibri"/>
        </w:rPr>
        <w:t>philistine</w:t>
      </w:r>
      <w:r w:rsidR="001A4846">
        <w:rPr>
          <w:rFonts w:cs="Calibri"/>
        </w:rPr>
        <w:t>, does</w:t>
      </w:r>
      <w:r w:rsidR="00337422">
        <w:rPr>
          <w:rFonts w:cs="Calibri"/>
        </w:rPr>
        <w:t xml:space="preserve"> not</w:t>
      </w:r>
      <w:r w:rsidR="005E3D18">
        <w:rPr>
          <w:rFonts w:cs="Calibri"/>
        </w:rPr>
        <w:t>.</w:t>
      </w:r>
      <w:r w:rsidR="005A12B9">
        <w:rPr>
          <w:rFonts w:cs="Calibri"/>
        </w:rPr>
        <w:t xml:space="preserve"> </w:t>
      </w:r>
      <w:r w:rsidR="005E3D18">
        <w:rPr>
          <w:rFonts w:cs="Calibri"/>
        </w:rPr>
        <w:t>S</w:t>
      </w:r>
      <w:r w:rsidR="005A12B9">
        <w:rPr>
          <w:rFonts w:cs="Calibri"/>
        </w:rPr>
        <w:t>o if God</w:t>
      </w:r>
      <w:r w:rsidR="001A4846">
        <w:rPr>
          <w:rFonts w:cs="Calibri"/>
        </w:rPr>
        <w:t>,</w:t>
      </w:r>
      <w:r w:rsidR="00357A01">
        <w:rPr>
          <w:rFonts w:cs="Calibri"/>
        </w:rPr>
        <w:t xml:space="preserve"> or</w:t>
      </w:r>
      <w:r w:rsidR="001A4846">
        <w:rPr>
          <w:rFonts w:cs="Calibri"/>
        </w:rPr>
        <w:t xml:space="preserve"> </w:t>
      </w:r>
      <w:r w:rsidR="00357A01">
        <w:rPr>
          <w:rFonts w:cs="Calibri"/>
        </w:rPr>
        <w:t>the attribute of thought</w:t>
      </w:r>
      <w:r w:rsidR="001A4846">
        <w:rPr>
          <w:rFonts w:cs="Calibri"/>
        </w:rPr>
        <w:t>,</w:t>
      </w:r>
      <w:r w:rsidR="005A12B9">
        <w:rPr>
          <w:rFonts w:cs="Calibri"/>
        </w:rPr>
        <w:t xml:space="preserve"> is </w:t>
      </w:r>
      <w:r w:rsidR="009C5471">
        <w:rPr>
          <w:rFonts w:cs="Calibri"/>
        </w:rPr>
        <w:t xml:space="preserve">in some sense </w:t>
      </w:r>
      <w:r w:rsidR="00722DF2">
        <w:rPr>
          <w:rFonts w:cs="Calibri"/>
        </w:rPr>
        <w:t xml:space="preserve">identical to </w:t>
      </w:r>
      <w:r w:rsidR="005A12B9">
        <w:rPr>
          <w:rFonts w:cs="Calibri"/>
        </w:rPr>
        <w:t xml:space="preserve">both </w:t>
      </w:r>
      <w:r w:rsidR="001A4846">
        <w:rPr>
          <w:rFonts w:cs="Calibri"/>
        </w:rPr>
        <w:t>me and Jones</w:t>
      </w:r>
      <w:r w:rsidR="000A03E1">
        <w:rPr>
          <w:rFonts w:cs="Calibri"/>
        </w:rPr>
        <w:t xml:space="preserve"> then</w:t>
      </w:r>
      <w:r w:rsidR="005A12B9">
        <w:rPr>
          <w:rFonts w:cs="Calibri"/>
        </w:rPr>
        <w:t xml:space="preserve"> </w:t>
      </w:r>
      <w:r w:rsidR="00722DF2">
        <w:rPr>
          <w:rFonts w:cs="Calibri"/>
        </w:rPr>
        <w:t xml:space="preserve">it </w:t>
      </w:r>
      <w:r w:rsidR="009C5471" w:rsidRPr="009C5471">
        <w:rPr>
          <w:rFonts w:cs="Calibri"/>
          <w:i/>
          <w:iCs/>
        </w:rPr>
        <w:t>might</w:t>
      </w:r>
      <w:r w:rsidR="00722DF2">
        <w:rPr>
          <w:rFonts w:cs="Calibri"/>
        </w:rPr>
        <w:t xml:space="preserve"> follow</w:t>
      </w:r>
      <w:r w:rsidR="009C5471">
        <w:rPr>
          <w:rFonts w:cs="Calibri"/>
        </w:rPr>
        <w:t xml:space="preserve"> – depending on how strong the sense of “identical” is here –</w:t>
      </w:r>
      <w:r w:rsidR="00722DF2">
        <w:rPr>
          <w:rFonts w:cs="Calibri"/>
        </w:rPr>
        <w:t xml:space="preserve"> that God</w:t>
      </w:r>
      <w:r w:rsidR="001A4846">
        <w:rPr>
          <w:rFonts w:cs="Calibri"/>
        </w:rPr>
        <w:t xml:space="preserve">, </w:t>
      </w:r>
      <w:r w:rsidR="00357A01">
        <w:rPr>
          <w:rFonts w:cs="Calibri"/>
        </w:rPr>
        <w:t>or the attribute of thought</w:t>
      </w:r>
      <w:r w:rsidR="001A4846">
        <w:rPr>
          <w:rFonts w:cs="Calibri"/>
        </w:rPr>
        <w:t>,</w:t>
      </w:r>
      <w:r w:rsidR="00357A01">
        <w:rPr>
          <w:rFonts w:cs="Calibri"/>
        </w:rPr>
        <w:t xml:space="preserve"> </w:t>
      </w:r>
      <w:r w:rsidR="00194EA9">
        <w:rPr>
          <w:rFonts w:cs="Calibri"/>
        </w:rPr>
        <w:t xml:space="preserve">both </w:t>
      </w:r>
      <w:r w:rsidR="00337422">
        <w:rPr>
          <w:rFonts w:cs="Calibri"/>
        </w:rPr>
        <w:t>does</w:t>
      </w:r>
      <w:r w:rsidR="00194EA9">
        <w:rPr>
          <w:rFonts w:cs="Calibri"/>
        </w:rPr>
        <w:t xml:space="preserve"> and </w:t>
      </w:r>
      <w:r w:rsidR="00337422">
        <w:rPr>
          <w:rFonts w:cs="Calibri"/>
        </w:rPr>
        <w:t>does not love</w:t>
      </w:r>
      <w:r w:rsidR="00194EA9">
        <w:rPr>
          <w:rFonts w:cs="Calibri"/>
        </w:rPr>
        <w:t xml:space="preserve"> yum cha</w:t>
      </w:r>
      <w:r w:rsidR="005A12B9">
        <w:rPr>
          <w:rFonts w:cs="Calibri"/>
        </w:rPr>
        <w:t>.</w:t>
      </w:r>
      <w:r w:rsidR="00CC3F7A">
        <w:rPr>
          <w:rStyle w:val="FootnoteReference"/>
          <w:rFonts w:cs="Calibri"/>
        </w:rPr>
        <w:footnoteReference w:id="39"/>
      </w:r>
      <w:r w:rsidR="005A12B9">
        <w:rPr>
          <w:rFonts w:cs="Calibri"/>
        </w:rPr>
        <w:t xml:space="preserve"> </w:t>
      </w:r>
      <w:r w:rsidR="009C5471">
        <w:rPr>
          <w:rFonts w:cs="Calibri"/>
        </w:rPr>
        <w:t xml:space="preserve">If the sense of “identical” is taken to be very strong, then </w:t>
      </w:r>
      <w:r w:rsidR="00A749F9">
        <w:rPr>
          <w:rFonts w:cs="Calibri"/>
        </w:rPr>
        <w:t xml:space="preserve">Spinoza’s </w:t>
      </w:r>
      <w:r w:rsidR="005A12B9">
        <w:rPr>
          <w:rFonts w:cs="Calibri"/>
        </w:rPr>
        <w:t>system seems to succumb to</w:t>
      </w:r>
      <w:r w:rsidR="0010123E">
        <w:rPr>
          <w:rFonts w:cs="Calibri"/>
        </w:rPr>
        <w:t xml:space="preserve"> Pierre</w:t>
      </w:r>
      <w:r w:rsidR="005A12B9">
        <w:rPr>
          <w:rFonts w:cs="Calibri"/>
        </w:rPr>
        <w:t xml:space="preserve"> Bayle</w:t>
      </w:r>
      <w:r w:rsidR="00BF11E6">
        <w:rPr>
          <w:rFonts w:cs="Calibri"/>
        </w:rPr>
        <w:t>’</w:t>
      </w:r>
      <w:r w:rsidR="005A12B9">
        <w:rPr>
          <w:rFonts w:cs="Calibri"/>
        </w:rPr>
        <w:t xml:space="preserve">s </w:t>
      </w:r>
      <w:r w:rsidR="0010123E">
        <w:rPr>
          <w:rFonts w:cs="Calibri"/>
        </w:rPr>
        <w:t>attack</w:t>
      </w:r>
      <w:r w:rsidR="00596FD4">
        <w:rPr>
          <w:rFonts w:cs="Calibri"/>
        </w:rPr>
        <w:t>, appearing as</w:t>
      </w:r>
      <w:r w:rsidR="0010123E">
        <w:rPr>
          <w:rFonts w:cs="Calibri"/>
        </w:rPr>
        <w:t xml:space="preserve"> </w:t>
      </w:r>
      <w:r w:rsidR="00A749F9">
        <w:t>“</w:t>
      </w:r>
      <w:r w:rsidR="0010123E" w:rsidRPr="00491A1C">
        <w:t>the most monstrous hypothesis imaginable, the most absurd, and the most diametrically opposed to the most evident notions in our mind</w:t>
      </w:r>
      <w:r w:rsidR="00A749F9">
        <w:t>”</w:t>
      </w:r>
      <w:r w:rsidR="009C5471">
        <w:t>.</w:t>
      </w:r>
      <w:r w:rsidR="0010123E" w:rsidRPr="006C277F">
        <w:rPr>
          <w:rStyle w:val="FootnoteReference"/>
        </w:rPr>
        <w:footnoteReference w:id="40"/>
      </w:r>
    </w:p>
    <w:p w14:paraId="6287692A" w14:textId="090E8D15" w:rsidR="009C5471" w:rsidRDefault="009C5471" w:rsidP="00596FD4">
      <w:pPr>
        <w:ind w:firstLine="720"/>
      </w:pPr>
      <w:r>
        <w:t xml:space="preserve">One of the </w:t>
      </w:r>
      <w:r w:rsidR="00A749F9">
        <w:t>“</w:t>
      </w:r>
      <w:r w:rsidR="0010123E">
        <w:t>evident notion</w:t>
      </w:r>
      <w:r>
        <w:t>s</w:t>
      </w:r>
      <w:r w:rsidR="0010123E">
        <w:t xml:space="preserve"> in our mind</w:t>
      </w:r>
      <w:r w:rsidR="00A749F9">
        <w:t>”</w:t>
      </w:r>
      <w:r>
        <w:t xml:space="preserve"> this seems to run against is</w:t>
      </w:r>
      <w:r w:rsidR="0010123E">
        <w:t xml:space="preserve"> the Indiscernibility of </w:t>
      </w:r>
      <w:proofErr w:type="spellStart"/>
      <w:r w:rsidR="00596FD4">
        <w:t>Identicals</w:t>
      </w:r>
      <w:proofErr w:type="spellEnd"/>
      <w:r w:rsidR="0010123E">
        <w:t>. This</w:t>
      </w:r>
      <w:r w:rsidR="00FA523F">
        <w:t xml:space="preserve"> principle</w:t>
      </w:r>
      <w:r w:rsidR="0010123E">
        <w:t xml:space="preserve"> (distinguished from its more controversial cousin, the Identity of </w:t>
      </w:r>
      <w:proofErr w:type="spellStart"/>
      <w:r w:rsidR="0010123E">
        <w:t>Indiscernibles</w:t>
      </w:r>
      <w:proofErr w:type="spellEnd"/>
      <w:r w:rsidR="0010123E">
        <w:t>) holds that if A and B have distinct properties</w:t>
      </w:r>
      <w:r w:rsidR="00722DF2">
        <w:t xml:space="preserve"> –</w:t>
      </w:r>
      <w:r w:rsidR="00596FD4">
        <w:t xml:space="preserve"> e</w:t>
      </w:r>
      <w:r w:rsidR="0010123E">
        <w:t xml:space="preserve">.g. </w:t>
      </w:r>
      <w:r w:rsidR="00596FD4">
        <w:t>A</w:t>
      </w:r>
      <w:r w:rsidR="0010123E">
        <w:t xml:space="preserve"> </w:t>
      </w:r>
      <w:proofErr w:type="gramStart"/>
      <w:r w:rsidR="00337422">
        <w:t>loves</w:t>
      </w:r>
      <w:proofErr w:type="gramEnd"/>
      <w:r w:rsidR="00337422">
        <w:t xml:space="preserve"> yum cha and</w:t>
      </w:r>
      <w:r w:rsidR="0010123E">
        <w:t xml:space="preserve"> </w:t>
      </w:r>
      <w:r w:rsidR="00596FD4">
        <w:t>B</w:t>
      </w:r>
      <w:r w:rsidR="0010123E">
        <w:t xml:space="preserve"> </w:t>
      </w:r>
      <w:r w:rsidR="00337422">
        <w:t>does</w:t>
      </w:r>
      <w:r w:rsidR="0010123E">
        <w:t xml:space="preserve"> not</w:t>
      </w:r>
      <w:r w:rsidR="00722DF2">
        <w:t xml:space="preserve"> – </w:t>
      </w:r>
      <w:r w:rsidR="00596FD4">
        <w:t>then A and B can</w:t>
      </w:r>
      <w:r w:rsidR="00BF11E6">
        <w:t>’</w:t>
      </w:r>
      <w:r w:rsidR="00596FD4">
        <w:t xml:space="preserve">t be </w:t>
      </w:r>
      <w:r>
        <w:t>identical</w:t>
      </w:r>
      <w:r w:rsidR="00596FD4">
        <w:t xml:space="preserve">. </w:t>
      </w:r>
      <w:r w:rsidR="0010123E">
        <w:t xml:space="preserve">Deleuze </w:t>
      </w:r>
      <w:r w:rsidR="00596FD4">
        <w:t xml:space="preserve">suggests that </w:t>
      </w:r>
      <w:r w:rsidR="0010123E">
        <w:t xml:space="preserve">Spinoza </w:t>
      </w:r>
      <w:r w:rsidR="00717172">
        <w:t xml:space="preserve">simply </w:t>
      </w:r>
      <w:r w:rsidR="00596FD4">
        <w:t>rejects this</w:t>
      </w:r>
      <w:r w:rsidR="00717172">
        <w:t xml:space="preserve"> principle</w:t>
      </w:r>
      <w:r w:rsidR="0010123E">
        <w:t xml:space="preserve">, which </w:t>
      </w:r>
      <w:r w:rsidR="00BF11E6">
        <w:t>Deleuze</w:t>
      </w:r>
      <w:r w:rsidR="0010123E">
        <w:t xml:space="preserve"> describes as the </w:t>
      </w:r>
      <w:r w:rsidR="00596FD4">
        <w:t>principle</w:t>
      </w:r>
      <w:r w:rsidR="0010123E">
        <w:t xml:space="preserve"> that </w:t>
      </w:r>
      <w:r w:rsidR="00A749F9">
        <w:t>“</w:t>
      </w:r>
      <w:r w:rsidR="0010123E">
        <w:rPr>
          <w:i/>
        </w:rPr>
        <w:t>Real distinction</w:t>
      </w:r>
      <w:r w:rsidR="0010123E">
        <w:rPr>
          <w:iCs/>
        </w:rPr>
        <w:t xml:space="preserve"> […] </w:t>
      </w:r>
      <w:r w:rsidR="0010123E" w:rsidRPr="005F7ECA">
        <w:rPr>
          <w:i/>
        </w:rPr>
        <w:t xml:space="preserve">brings </w:t>
      </w:r>
      <w:r w:rsidR="0010123E" w:rsidRPr="005F7ECA">
        <w:rPr>
          <w:i/>
        </w:rPr>
        <w:lastRenderedPageBreak/>
        <w:t>with it a division of things</w:t>
      </w:r>
      <w:r w:rsidR="00A749F9">
        <w:t>”</w:t>
      </w:r>
      <w:r w:rsidR="0010123E">
        <w:t>.</w:t>
      </w:r>
      <w:r w:rsidR="0010123E" w:rsidRPr="00437B07">
        <w:rPr>
          <w:rStyle w:val="FootnoteReference"/>
        </w:rPr>
        <w:footnoteReference w:id="41"/>
      </w:r>
      <w:r w:rsidR="0010123E">
        <w:t xml:space="preserve"> </w:t>
      </w:r>
      <w:r w:rsidR="00717172">
        <w:t xml:space="preserve">To support this as a viable option, I would point out </w:t>
      </w:r>
      <w:r w:rsidR="0010123E">
        <w:t>Donald Baxter</w:t>
      </w:r>
      <w:r w:rsidR="00717172">
        <w:t xml:space="preserve">’s arguments </w:t>
      </w:r>
      <w:r w:rsidR="0010123E">
        <w:t xml:space="preserve">against </w:t>
      </w:r>
      <w:r w:rsidR="00051809">
        <w:t xml:space="preserve">the </w:t>
      </w:r>
      <w:r w:rsidR="0031029C">
        <w:t xml:space="preserve">universality of the </w:t>
      </w:r>
      <w:r w:rsidR="00051809">
        <w:t>principle</w:t>
      </w:r>
      <w:r w:rsidR="00A37D6B">
        <w:t>. Baxter</w:t>
      </w:r>
      <w:r w:rsidR="0010123E">
        <w:t xml:space="preserve"> suggest</w:t>
      </w:r>
      <w:r w:rsidR="00A37D6B">
        <w:t>s</w:t>
      </w:r>
      <w:r w:rsidR="0010123E">
        <w:t xml:space="preserve"> that </w:t>
      </w:r>
      <w:r w:rsidR="00A37D6B">
        <w:t>in certain cases</w:t>
      </w:r>
      <w:r w:rsidR="0031029C">
        <w:t xml:space="preserve"> a</w:t>
      </w:r>
      <w:r w:rsidR="0010123E">
        <w:t xml:space="preserve"> thing can </w:t>
      </w:r>
      <w:r w:rsidR="0010123E" w:rsidRPr="001B2D1D">
        <w:t>qualitatively differ from itself</w:t>
      </w:r>
      <w:r w:rsidR="001B2D1D">
        <w:t xml:space="preserve"> </w:t>
      </w:r>
      <w:r w:rsidR="00A37D6B">
        <w:t xml:space="preserve">by </w:t>
      </w:r>
      <w:r w:rsidR="0010123E">
        <w:t>existing in</w:t>
      </w:r>
      <w:r w:rsidR="00381F06">
        <w:t xml:space="preserve"> various</w:t>
      </w:r>
      <w:r w:rsidR="0010123E">
        <w:t xml:space="preserve"> </w:t>
      </w:r>
      <w:r w:rsidR="00A37D6B" w:rsidRPr="001B2D1D">
        <w:rPr>
          <w:i/>
          <w:iCs/>
        </w:rPr>
        <w:t>aspects</w:t>
      </w:r>
      <w:r w:rsidR="0010123E">
        <w:t>.</w:t>
      </w:r>
      <w:r w:rsidR="0010123E" w:rsidRPr="00437B07">
        <w:rPr>
          <w:rStyle w:val="FootnoteReference"/>
        </w:rPr>
        <w:footnoteReference w:id="42"/>
      </w:r>
      <w:r w:rsidR="00596FD4">
        <w:t xml:space="preserve"> </w:t>
      </w:r>
      <w:r w:rsidR="00381F06">
        <w:t xml:space="preserve">Aspects </w:t>
      </w:r>
      <w:r w:rsidR="001B2D1D">
        <w:t>are</w:t>
      </w:r>
      <w:r w:rsidR="00381F06">
        <w:t xml:space="preserve"> qualitatively </w:t>
      </w:r>
      <w:r w:rsidR="001B2D1D">
        <w:t xml:space="preserve">distinct </w:t>
      </w:r>
      <w:r w:rsidR="001B2D1D" w:rsidRPr="001B2D1D">
        <w:rPr>
          <w:i/>
          <w:iCs/>
        </w:rPr>
        <w:t>as aspects</w:t>
      </w:r>
      <w:r w:rsidR="00381F06">
        <w:t xml:space="preserve"> while </w:t>
      </w:r>
      <w:r w:rsidR="00B03701">
        <w:t>remaining</w:t>
      </w:r>
      <w:r w:rsidR="00381F06">
        <w:t xml:space="preserve"> numerically identical</w:t>
      </w:r>
      <w:r w:rsidR="001B2D1D">
        <w:t xml:space="preserve"> </w:t>
      </w:r>
      <w:r w:rsidR="001B2D1D" w:rsidRPr="001B2D1D">
        <w:rPr>
          <w:i/>
          <w:iCs/>
        </w:rPr>
        <w:t>as things</w:t>
      </w:r>
      <w:r w:rsidR="00381F06">
        <w:t>. Thus</w:t>
      </w:r>
      <w:r w:rsidR="00337422">
        <w:t xml:space="preserve"> </w:t>
      </w:r>
      <w:r w:rsidR="001B0452">
        <w:t>God</w:t>
      </w:r>
      <w:r w:rsidR="00337422">
        <w:t>-</w:t>
      </w:r>
      <w:r w:rsidR="00337422">
        <w:rPr>
          <w:i/>
          <w:iCs/>
        </w:rPr>
        <w:t>quatenus</w:t>
      </w:r>
      <w:r w:rsidR="00337422">
        <w:t xml:space="preserve">-me could love yum cha while </w:t>
      </w:r>
      <w:r w:rsidR="001B0452">
        <w:t>God</w:t>
      </w:r>
      <w:r w:rsidR="00337422">
        <w:t>-</w:t>
      </w:r>
      <w:r w:rsidR="00337422">
        <w:rPr>
          <w:i/>
          <w:iCs/>
        </w:rPr>
        <w:t>quatenus</w:t>
      </w:r>
      <w:r w:rsidR="00337422">
        <w:t>-</w:t>
      </w:r>
      <w:r w:rsidR="001A4846">
        <w:t>Jones</w:t>
      </w:r>
      <w:r w:rsidR="00337422">
        <w:t xml:space="preserve"> does not, </w:t>
      </w:r>
      <w:r w:rsidR="00381F06">
        <w:t>while both being identical to God.</w:t>
      </w:r>
    </w:p>
    <w:p w14:paraId="1C011539" w14:textId="1C1D588A" w:rsidR="0010123E" w:rsidRPr="00337422" w:rsidRDefault="00156141" w:rsidP="00596FD4">
      <w:pPr>
        <w:ind w:firstLine="720"/>
      </w:pPr>
      <w:r>
        <w:t>However Spinoza understands it</w:t>
      </w:r>
      <w:r w:rsidR="00381F06">
        <w:t>, there is clearly a difference between</w:t>
      </w:r>
      <w:r w:rsidR="009C5471">
        <w:t xml:space="preserve"> </w:t>
      </w:r>
      <w:r w:rsidR="00381F06">
        <w:t>t</w:t>
      </w:r>
      <w:r w:rsidR="009C5471">
        <w:t>he sense in which God is identical with</w:t>
      </w:r>
      <w:r w:rsidR="00381F06">
        <w:t xml:space="preserve"> the things that express him and</w:t>
      </w:r>
      <w:r w:rsidR="009C5471">
        <w:t xml:space="preserve"> the sense in which he is identical with his own essence (E 1p20)</w:t>
      </w:r>
      <w:r w:rsidR="00381F06">
        <w:t xml:space="preserve"> – clearly, since the first is a</w:t>
      </w:r>
      <w:r w:rsidR="007F068C">
        <w:t>n asymmetrical</w:t>
      </w:r>
      <w:r w:rsidR="00381F06">
        <w:t xml:space="preserve"> one-many relation </w:t>
      </w:r>
      <w:r w:rsidR="007F068C">
        <w:t>(the things express God, but God doesn’t express the things) while</w:t>
      </w:r>
      <w:r w:rsidR="00381F06">
        <w:t xml:space="preserve"> the second </w:t>
      </w:r>
      <w:r w:rsidR="007F068C">
        <w:t xml:space="preserve">is </w:t>
      </w:r>
      <w:r w:rsidR="00381F06">
        <w:t xml:space="preserve">a </w:t>
      </w:r>
      <w:r w:rsidR="007F068C">
        <w:t xml:space="preserve">symmetrical </w:t>
      </w:r>
      <w:r w:rsidR="00381F06">
        <w:t>one-one relation</w:t>
      </w:r>
      <w:r w:rsidR="007F068C">
        <w:t xml:space="preserve"> (God is God’s essence, and God’s essence is God)</w:t>
      </w:r>
      <w:r w:rsidR="009C5471">
        <w:t xml:space="preserve">. Nevertheless, </w:t>
      </w:r>
      <w:r w:rsidR="00381F06">
        <w:t xml:space="preserve">there must be enough identity between God and the modes to </w:t>
      </w:r>
      <w:r w:rsidR="00BF1A73">
        <w:t xml:space="preserve">support </w:t>
      </w:r>
      <w:r w:rsidR="009C5471">
        <w:t xml:space="preserve">the consequence that God is </w:t>
      </w:r>
      <w:proofErr w:type="spellStart"/>
      <w:r w:rsidR="009C5471">
        <w:t>superdeterminate</w:t>
      </w:r>
      <w:proofErr w:type="spellEnd"/>
      <w:r w:rsidR="009C5471">
        <w:t xml:space="preserve">: that is, the many determinations of </w:t>
      </w:r>
      <w:r w:rsidR="00047CCB">
        <w:t xml:space="preserve">things </w:t>
      </w:r>
      <w:r w:rsidR="009C5471">
        <w:t xml:space="preserve">must be in some sense determinations </w:t>
      </w:r>
      <w:r w:rsidR="009C5471" w:rsidRPr="009C5471">
        <w:rPr>
          <w:i/>
          <w:iCs/>
        </w:rPr>
        <w:t>of God</w:t>
      </w:r>
      <w:r w:rsidR="002F2E19">
        <w:rPr>
          <w:i/>
          <w:iCs/>
        </w:rPr>
        <w:t xml:space="preserve"> himself</w:t>
      </w:r>
      <w:r w:rsidR="00381F06">
        <w:t xml:space="preserve"> and not only, for instance, </w:t>
      </w:r>
      <w:r w:rsidR="009C5471">
        <w:t xml:space="preserve">of </w:t>
      </w:r>
      <w:r w:rsidR="00B00B31">
        <w:t>effects</w:t>
      </w:r>
      <w:r w:rsidR="009C5471">
        <w:t xml:space="preserve"> that God causes</w:t>
      </w:r>
      <w:r w:rsidR="00381F06">
        <w:t>.</w:t>
      </w:r>
    </w:p>
    <w:p w14:paraId="7B10A55A" w14:textId="6AEF2CD4" w:rsidR="00BB32D2" w:rsidRPr="00BB32D2" w:rsidRDefault="00C84C52" w:rsidP="00BB32D2">
      <w:pPr>
        <w:pStyle w:val="Heading1"/>
      </w:pPr>
      <w:r>
        <w:t>6</w:t>
      </w:r>
      <w:r w:rsidR="00BB32D2">
        <w:t xml:space="preserve">. Spinoza and Ibn </w:t>
      </w:r>
      <w:r w:rsidR="00A749F9">
        <w:t>‘</w:t>
      </w:r>
      <w:proofErr w:type="spellStart"/>
      <w:r w:rsidR="00A749F9">
        <w:t>Arabī</w:t>
      </w:r>
      <w:r w:rsidR="00421210">
        <w:t>’</w:t>
      </w:r>
      <w:r w:rsidR="00BB32D2">
        <w:t>s</w:t>
      </w:r>
      <w:proofErr w:type="spellEnd"/>
      <w:r w:rsidR="00BB32D2">
        <w:t xml:space="preserve"> Theophany (</w:t>
      </w:r>
      <w:proofErr w:type="spellStart"/>
      <w:r w:rsidR="00BB32D2">
        <w:rPr>
          <w:i/>
          <w:iCs/>
        </w:rPr>
        <w:t>Tajallī</w:t>
      </w:r>
      <w:proofErr w:type="spellEnd"/>
      <w:r w:rsidR="00BB32D2">
        <w:t>)</w:t>
      </w:r>
    </w:p>
    <w:p w14:paraId="05A7001F" w14:textId="6515ABEB" w:rsidR="00CD501B" w:rsidRDefault="00BB32D2" w:rsidP="00BB32D2">
      <w:r>
        <w:t>I</w:t>
      </w:r>
      <w:r w:rsidR="00547C10">
        <w:t xml:space="preserve">f this is the point at which Spinoza arrives, it might not be without historical precedent. </w:t>
      </w:r>
      <w:r w:rsidR="00722DF2">
        <w:t>It aligns Spinoza</w:t>
      </w:r>
      <w:r w:rsidR="00547C10">
        <w:t xml:space="preserve"> </w:t>
      </w:r>
      <w:r w:rsidR="00722DF2">
        <w:t xml:space="preserve">with a different permutation of </w:t>
      </w:r>
      <w:r w:rsidR="00547C10">
        <w:t>Neoplatonism</w:t>
      </w:r>
      <w:r w:rsidR="00722DF2">
        <w:t xml:space="preserve">, </w:t>
      </w:r>
      <w:r w:rsidR="00547C10">
        <w:t xml:space="preserve">found </w:t>
      </w:r>
      <w:r w:rsidR="00B7334E">
        <w:t>with</w:t>
      </w:r>
      <w:r w:rsidR="00547C10">
        <w:t>in the Islamic tradition</w:t>
      </w:r>
      <w:r w:rsidR="0048465E">
        <w:t xml:space="preserve"> in the thought of Ibn </w:t>
      </w:r>
      <w:r w:rsidR="00A749F9">
        <w:t>‘</w:t>
      </w:r>
      <w:proofErr w:type="spellStart"/>
      <w:r w:rsidR="00A749F9">
        <w:t>Arabī</w:t>
      </w:r>
      <w:proofErr w:type="spellEnd"/>
      <w:r w:rsidR="007410F2">
        <w:t xml:space="preserve">, </w:t>
      </w:r>
      <w:r w:rsidR="00547C10">
        <w:t xml:space="preserve">at least as understood by </w:t>
      </w:r>
      <w:proofErr w:type="spellStart"/>
      <w:r w:rsidR="00547C10" w:rsidRPr="00B441F4">
        <w:t>Toshihiku</w:t>
      </w:r>
      <w:proofErr w:type="spellEnd"/>
      <w:r w:rsidR="00547C10" w:rsidRPr="00B441F4">
        <w:t xml:space="preserve"> </w:t>
      </w:r>
      <w:proofErr w:type="spellStart"/>
      <w:r w:rsidR="00547C10" w:rsidRPr="00B441F4">
        <w:t>Izutsu</w:t>
      </w:r>
      <w:proofErr w:type="spellEnd"/>
      <w:r w:rsidR="00547C10">
        <w:t>.</w:t>
      </w:r>
      <w:r w:rsidR="00CD501B" w:rsidRPr="006C277F">
        <w:rPr>
          <w:rStyle w:val="FootnoteReference"/>
        </w:rPr>
        <w:footnoteReference w:id="43"/>
      </w:r>
      <w:r w:rsidR="00547C10">
        <w:t xml:space="preserve"> </w:t>
      </w:r>
      <w:proofErr w:type="spellStart"/>
      <w:r w:rsidR="00CD501B">
        <w:t>Izutsu</w:t>
      </w:r>
      <w:proofErr w:type="spellEnd"/>
      <w:r w:rsidR="00CD501B">
        <w:t xml:space="preserve"> identifies the following idea </w:t>
      </w:r>
      <w:r w:rsidR="0048465E">
        <w:t>in</w:t>
      </w:r>
      <w:r w:rsidR="00CD501B">
        <w:t xml:space="preserve"> Ibn </w:t>
      </w:r>
      <w:r w:rsidR="00A749F9">
        <w:t>‘</w:t>
      </w:r>
      <w:proofErr w:type="spellStart"/>
      <w:r w:rsidR="00A749F9">
        <w:t>Arabī</w:t>
      </w:r>
      <w:proofErr w:type="spellEnd"/>
      <w:r w:rsidR="00CD501B">
        <w:t>:</w:t>
      </w:r>
    </w:p>
    <w:p w14:paraId="68D35EE2" w14:textId="38C0A5AA" w:rsidR="00CD501B" w:rsidRPr="00B441F4" w:rsidRDefault="00CD501B" w:rsidP="00CD501B">
      <w:pPr>
        <w:pStyle w:val="Quote"/>
      </w:pPr>
      <w:r w:rsidRPr="00B441F4">
        <w:lastRenderedPageBreak/>
        <w:t xml:space="preserve">The absolute and ultimate ground of Existence is in both Sufism and Taoism the Mystery of Mysteries. The latter is, as Ibn </w:t>
      </w:r>
      <w:r w:rsidR="00A749F9">
        <w:t>‘</w:t>
      </w:r>
      <w:proofErr w:type="spellStart"/>
      <w:r w:rsidR="00A749F9">
        <w:t>Arabī</w:t>
      </w:r>
      <w:proofErr w:type="spellEnd"/>
      <w:r w:rsidR="00A749F9">
        <w:t xml:space="preserve"> </w:t>
      </w:r>
      <w:r w:rsidRPr="00B441F4">
        <w:t xml:space="preserve">says, the </w:t>
      </w:r>
      <w:proofErr w:type="spellStart"/>
      <w:r w:rsidRPr="00CD501B">
        <w:rPr>
          <w:i/>
        </w:rPr>
        <w:t>ankar</w:t>
      </w:r>
      <w:proofErr w:type="spellEnd"/>
      <w:r w:rsidRPr="00CD501B">
        <w:rPr>
          <w:i/>
        </w:rPr>
        <w:t xml:space="preserve"> al-</w:t>
      </w:r>
      <w:proofErr w:type="spellStart"/>
      <w:r w:rsidRPr="00CD501B">
        <w:rPr>
          <w:i/>
        </w:rPr>
        <w:t>nakirāt</w:t>
      </w:r>
      <w:proofErr w:type="spellEnd"/>
      <w:r w:rsidRPr="00B441F4">
        <w:t xml:space="preserve"> </w:t>
      </w:r>
      <w:r w:rsidR="00A749F9">
        <w:t>“</w:t>
      </w:r>
      <w:r w:rsidRPr="00B441F4">
        <w:t>the most indeterminate of all indeterminates</w:t>
      </w:r>
      <w:r w:rsidR="00A749F9">
        <w:t>”</w:t>
      </w:r>
      <w:r w:rsidRPr="00B441F4">
        <w:t>; that is to say, it is Something that transcends all qualifications and relations that are humanly conceivable.</w:t>
      </w:r>
      <w:r w:rsidRPr="005F3607">
        <w:rPr>
          <w:rStyle w:val="FootnoteReference"/>
        </w:rPr>
        <w:footnoteReference w:id="44"/>
      </w:r>
    </w:p>
    <w:p w14:paraId="22301D77" w14:textId="6070F378" w:rsidR="00AA5C05" w:rsidRDefault="0069701E" w:rsidP="008A31A3">
      <w:r>
        <w:t xml:space="preserve">At times </w:t>
      </w:r>
      <w:r w:rsidR="00007655">
        <w:t xml:space="preserve">Ibn </w:t>
      </w:r>
      <w:r w:rsidR="00A749F9">
        <w:t>‘</w:t>
      </w:r>
      <w:proofErr w:type="spellStart"/>
      <w:r w:rsidR="00A749F9">
        <w:t>Arabī</w:t>
      </w:r>
      <w:r w:rsidR="00421210">
        <w:t>’</w:t>
      </w:r>
      <w:r w:rsidR="00007655">
        <w:t>s</w:t>
      </w:r>
      <w:proofErr w:type="spellEnd"/>
      <w:r w:rsidR="00007655">
        <w:t xml:space="preserve"> Absolute</w:t>
      </w:r>
      <w:r w:rsidR="00B94503">
        <w:t xml:space="preserve"> </w:t>
      </w:r>
      <w:r>
        <w:t xml:space="preserve">appears to be indeterminate in the manner of </w:t>
      </w:r>
      <w:proofErr w:type="spellStart"/>
      <w:r w:rsidR="00866E86">
        <w:t>Eriugena’s</w:t>
      </w:r>
      <w:proofErr w:type="spellEnd"/>
      <w:r w:rsidR="00866E86">
        <w:t xml:space="preserve"> </w:t>
      </w:r>
      <w:r>
        <w:t>divine nature</w:t>
      </w:r>
      <w:r w:rsidR="00722DF2">
        <w:t>.</w:t>
      </w:r>
      <w:r>
        <w:t xml:space="preserve"> </w:t>
      </w:r>
      <w:r w:rsidR="00722DF2">
        <w:t>E</w:t>
      </w:r>
      <w:r>
        <w:t xml:space="preserve">.g. </w:t>
      </w:r>
      <w:r w:rsidR="00007655">
        <w:t>it</w:t>
      </w:r>
      <w:r>
        <w:t xml:space="preserve"> is said to be </w:t>
      </w:r>
      <w:r w:rsidR="00A749F9">
        <w:t>“</w:t>
      </w:r>
      <w:r>
        <w:t>unknowable to us because it transcends all qualifications and relations that are humanly conceivable</w:t>
      </w:r>
      <w:r w:rsidR="00A749F9">
        <w:t>”</w:t>
      </w:r>
      <w:r>
        <w:t>.</w:t>
      </w:r>
      <w:r>
        <w:rPr>
          <w:rStyle w:val="FootnoteReference"/>
        </w:rPr>
        <w:footnoteReference w:id="45"/>
      </w:r>
      <w:r w:rsidR="00CD501B">
        <w:t xml:space="preserve"> </w:t>
      </w:r>
      <w:r>
        <w:t xml:space="preserve">But on the other hand, there is </w:t>
      </w:r>
      <w:r w:rsidR="00722DF2">
        <w:t>also</w:t>
      </w:r>
      <w:r w:rsidR="00CD7290">
        <w:t xml:space="preserve"> the Absolute </w:t>
      </w:r>
      <w:r>
        <w:t>in its state</w:t>
      </w:r>
      <w:r w:rsidR="003E43C8">
        <w:t>s</w:t>
      </w:r>
      <w:r>
        <w:t xml:space="preserve"> of determination, in which it is identical with each of the things in the world: </w:t>
      </w:r>
      <w:r w:rsidR="00A749F9">
        <w:t>“</w:t>
      </w:r>
      <w:r w:rsidR="00D518F2">
        <w:t>in ibn-</w:t>
      </w:r>
      <w:r w:rsidR="00421210">
        <w:t>‘</w:t>
      </w:r>
      <w:proofErr w:type="spellStart"/>
      <w:r w:rsidR="00D518F2">
        <w:t>Arabī</w:t>
      </w:r>
      <w:r w:rsidR="00421210">
        <w:t>’</w:t>
      </w:r>
      <w:r w:rsidR="00D518F2">
        <w:t>s</w:t>
      </w:r>
      <w:proofErr w:type="spellEnd"/>
      <w:r w:rsidR="00D518F2">
        <w:t xml:space="preserve"> world-view, the whole world is the locus or theophany or self-manifestation of the Absolute, and […] consequently, all the things and events of the world are self-determinations of the Absolute</w:t>
      </w:r>
      <w:r w:rsidR="00A749F9">
        <w:t>”</w:t>
      </w:r>
      <w:r w:rsidR="0048465E">
        <w:t>.</w:t>
      </w:r>
      <w:r w:rsidR="00D518F2">
        <w:rPr>
          <w:rStyle w:val="FootnoteReference"/>
        </w:rPr>
        <w:footnoteReference w:id="46"/>
      </w:r>
      <w:r w:rsidR="00D518F2">
        <w:t xml:space="preserve"> </w:t>
      </w:r>
      <w:r w:rsidR="0048465E">
        <w:t>Also:</w:t>
      </w:r>
      <w:r w:rsidR="00D518F2">
        <w:t xml:space="preserve"> </w:t>
      </w:r>
      <w:r w:rsidR="00A749F9">
        <w:t>“</w:t>
      </w:r>
      <w:r w:rsidR="00D518F2">
        <w:t>those things that are provisionally considered as independently existent are nothing but many particularized, delimited forms of the Absolute</w:t>
      </w:r>
      <w:r w:rsidR="00A749F9">
        <w:t>”</w:t>
      </w:r>
      <w:r w:rsidR="00D518F2">
        <w:t>.</w:t>
      </w:r>
      <w:r w:rsidR="00D518F2">
        <w:rPr>
          <w:rStyle w:val="FootnoteReference"/>
        </w:rPr>
        <w:footnoteReference w:id="47"/>
      </w:r>
      <w:r w:rsidR="00D518F2">
        <w:t xml:space="preserve"> </w:t>
      </w:r>
    </w:p>
    <w:p w14:paraId="47C40608" w14:textId="61AE6F2D" w:rsidR="0093582F" w:rsidRDefault="008A31A3" w:rsidP="00AA5C05">
      <w:pPr>
        <w:ind w:firstLine="720"/>
      </w:pPr>
      <w:r>
        <w:t xml:space="preserve">This is Ibn </w:t>
      </w:r>
      <w:r w:rsidR="00A749F9">
        <w:t>‘</w:t>
      </w:r>
      <w:proofErr w:type="spellStart"/>
      <w:r w:rsidR="00A749F9">
        <w:t>Arabī</w:t>
      </w:r>
      <w:r w:rsidR="00A531AA">
        <w:t>’</w:t>
      </w:r>
      <w:r>
        <w:t>s</w:t>
      </w:r>
      <w:proofErr w:type="spellEnd"/>
      <w:r>
        <w:t xml:space="preserve"> version of </w:t>
      </w:r>
      <w:proofErr w:type="gramStart"/>
      <w:r>
        <w:t>theophany;</w:t>
      </w:r>
      <w:proofErr w:type="gramEnd"/>
      <w:r>
        <w:t xml:space="preserve"> as William Chittick observes: </w:t>
      </w:r>
    </w:p>
    <w:p w14:paraId="58409DFD" w14:textId="73AC6CCD" w:rsidR="008A31A3" w:rsidRDefault="008A31A3" w:rsidP="0093582F">
      <w:pPr>
        <w:pStyle w:val="Quote"/>
      </w:pPr>
      <w:r>
        <w:t>The term self-disclosure (</w:t>
      </w:r>
      <w:proofErr w:type="spellStart"/>
      <w:r w:rsidRPr="008A31A3">
        <w:rPr>
          <w:i/>
        </w:rPr>
        <w:t>tajall</w:t>
      </w:r>
      <w:r>
        <w:rPr>
          <w:i/>
        </w:rPr>
        <w:t>ī</w:t>
      </w:r>
      <w:proofErr w:type="spellEnd"/>
      <w:r>
        <w:t xml:space="preserve">) – often translated as </w:t>
      </w:r>
      <w:r w:rsidR="00A749F9">
        <w:t>“</w:t>
      </w:r>
      <w:r>
        <w:t>theophany</w:t>
      </w:r>
      <w:r w:rsidR="00A749F9">
        <w:t>”</w:t>
      </w:r>
      <w:r>
        <w:t xml:space="preserve"> – plays such a central role in Ibn al</w:t>
      </w:r>
      <w:proofErr w:type="gramStart"/>
      <w:r>
        <w:t>-</w:t>
      </w:r>
      <w:r w:rsidR="00A531AA">
        <w:t>‘</w:t>
      </w:r>
      <w:proofErr w:type="spellStart"/>
      <w:proofErr w:type="gramEnd"/>
      <w:r>
        <w:t>Arabī</w:t>
      </w:r>
      <w:r w:rsidR="00A531AA">
        <w:t>’</w:t>
      </w:r>
      <w:r>
        <w:t>s</w:t>
      </w:r>
      <w:proofErr w:type="spellEnd"/>
      <w:r>
        <w:t xml:space="preserve"> teachings that, before</w:t>
      </w:r>
      <w:r w:rsidR="0093582F">
        <w:t xml:space="preserve"> </w:t>
      </w:r>
      <w:r>
        <w:t>he was known as the great spokesman for</w:t>
      </w:r>
      <w:r w:rsidR="0093582F">
        <w:t xml:space="preserve"> </w:t>
      </w:r>
      <w:proofErr w:type="spellStart"/>
      <w:r w:rsidRPr="0093582F">
        <w:rPr>
          <w:i/>
        </w:rPr>
        <w:t>wa</w:t>
      </w:r>
      <w:r w:rsidR="0093582F" w:rsidRPr="0093582F">
        <w:rPr>
          <w:i/>
        </w:rPr>
        <w:t>ḥd</w:t>
      </w:r>
      <w:r w:rsidRPr="0093582F">
        <w:rPr>
          <w:i/>
        </w:rPr>
        <w:t>at</w:t>
      </w:r>
      <w:proofErr w:type="spellEnd"/>
      <w:r w:rsidRPr="0093582F">
        <w:rPr>
          <w:i/>
        </w:rPr>
        <w:t xml:space="preserve"> al-</w:t>
      </w:r>
      <w:proofErr w:type="spellStart"/>
      <w:r w:rsidRPr="0093582F">
        <w:rPr>
          <w:i/>
        </w:rPr>
        <w:t>wuj</w:t>
      </w:r>
      <w:r w:rsidR="0093582F" w:rsidRPr="0093582F">
        <w:rPr>
          <w:i/>
        </w:rPr>
        <w:t>ū</w:t>
      </w:r>
      <w:r w:rsidRPr="0093582F">
        <w:rPr>
          <w:i/>
        </w:rPr>
        <w:t>d</w:t>
      </w:r>
      <w:proofErr w:type="spellEnd"/>
      <w:r>
        <w:t>, he had been called one of</w:t>
      </w:r>
      <w:r w:rsidR="0093582F">
        <w:t xml:space="preserve"> </w:t>
      </w:r>
      <w:r>
        <w:rPr>
          <w:rFonts w:hint="eastAsia"/>
        </w:rPr>
        <w:t>the Companions of Self-Disclosure (</w:t>
      </w:r>
      <w:proofErr w:type="spellStart"/>
      <w:r w:rsidRPr="0093582F">
        <w:rPr>
          <w:rFonts w:hint="eastAsia"/>
          <w:i/>
        </w:rPr>
        <w:t>a</w:t>
      </w:r>
      <w:r w:rsidR="0093582F" w:rsidRPr="0093582F">
        <w:rPr>
          <w:i/>
        </w:rPr>
        <w:t>ṣḥ</w:t>
      </w:r>
      <w:r w:rsidRPr="0093582F">
        <w:rPr>
          <w:rFonts w:hint="eastAsia"/>
          <w:i/>
        </w:rPr>
        <w:t>ab</w:t>
      </w:r>
      <w:proofErr w:type="spellEnd"/>
      <w:r w:rsidRPr="0093582F">
        <w:rPr>
          <w:rFonts w:hint="eastAsia"/>
          <w:i/>
        </w:rPr>
        <w:t xml:space="preserve"> </w:t>
      </w:r>
      <w:r w:rsidR="0093582F" w:rsidRPr="0093582F">
        <w:rPr>
          <w:i/>
        </w:rPr>
        <w:t>al-</w:t>
      </w:r>
      <w:proofErr w:type="spellStart"/>
      <w:r w:rsidR="0093582F" w:rsidRPr="0093582F">
        <w:rPr>
          <w:i/>
        </w:rPr>
        <w:t>taj</w:t>
      </w:r>
      <w:r w:rsidR="0093582F">
        <w:rPr>
          <w:i/>
        </w:rPr>
        <w:t>a</w:t>
      </w:r>
      <w:r w:rsidR="0093582F" w:rsidRPr="0093582F">
        <w:rPr>
          <w:i/>
        </w:rPr>
        <w:t>llī</w:t>
      </w:r>
      <w:proofErr w:type="spellEnd"/>
      <w:r>
        <w:t>).</w:t>
      </w:r>
      <w:r w:rsidR="0093582F">
        <w:rPr>
          <w:rStyle w:val="FootnoteReference"/>
        </w:rPr>
        <w:footnoteReference w:id="48"/>
      </w:r>
    </w:p>
    <w:p w14:paraId="4FEE94DD" w14:textId="207942C1" w:rsidR="00CD703D" w:rsidRPr="00E87FA2" w:rsidRDefault="00AA5C05" w:rsidP="00CD703D">
      <w:pPr>
        <w:rPr>
          <w:lang w:val="en-GB"/>
        </w:rPr>
      </w:pPr>
      <w:r>
        <w:t xml:space="preserve">But </w:t>
      </w:r>
      <w:r w:rsidR="00B7334E">
        <w:t xml:space="preserve">Ibn </w:t>
      </w:r>
      <w:r w:rsidR="00A749F9">
        <w:t>‘</w:t>
      </w:r>
      <w:proofErr w:type="spellStart"/>
      <w:r w:rsidR="00A749F9">
        <w:t>Arabī</w:t>
      </w:r>
      <w:r w:rsidR="00A531AA">
        <w:t>’</w:t>
      </w:r>
      <w:r>
        <w:t>s</w:t>
      </w:r>
      <w:proofErr w:type="spellEnd"/>
      <w:r>
        <w:t xml:space="preserve"> theophany differs from </w:t>
      </w:r>
      <w:proofErr w:type="spellStart"/>
      <w:r w:rsidR="00866E86">
        <w:t>Eriugena’s</w:t>
      </w:r>
      <w:proofErr w:type="spellEnd"/>
      <w:r w:rsidR="00866E86">
        <w:t xml:space="preserve"> </w:t>
      </w:r>
      <w:r>
        <w:t xml:space="preserve">on the same point we have found in Spinoza: Ibn </w:t>
      </w:r>
      <w:r w:rsidR="00A749F9">
        <w:t>‘</w:t>
      </w:r>
      <w:proofErr w:type="spellStart"/>
      <w:r w:rsidR="00A749F9">
        <w:t>Arabī</w:t>
      </w:r>
      <w:proofErr w:type="spellEnd"/>
      <w:r w:rsidR="00A749F9">
        <w:t xml:space="preserve"> </w:t>
      </w:r>
      <w:r w:rsidR="00B7334E">
        <w:t>understand</w:t>
      </w:r>
      <w:r w:rsidR="00CD7290">
        <w:t xml:space="preserve">s the </w:t>
      </w:r>
      <w:proofErr w:type="spellStart"/>
      <w:proofErr w:type="gramStart"/>
      <w:r w:rsidR="00CD7290">
        <w:t>Absolute</w:t>
      </w:r>
      <w:r w:rsidR="00A749F9">
        <w:t>”</w:t>
      </w:r>
      <w:r w:rsidR="00CD7290">
        <w:t>s</w:t>
      </w:r>
      <w:proofErr w:type="spellEnd"/>
      <w:proofErr w:type="gramEnd"/>
      <w:r w:rsidR="00BC4D14">
        <w:t xml:space="preserve"> </w:t>
      </w:r>
      <w:r w:rsidR="00B7334E">
        <w:t xml:space="preserve">unlimitedness in terms of </w:t>
      </w:r>
      <w:proofErr w:type="spellStart"/>
      <w:r w:rsidR="00B7334E">
        <w:t>superdeterminacy</w:t>
      </w:r>
      <w:proofErr w:type="spellEnd"/>
      <w:r w:rsidR="00B7334E">
        <w:t xml:space="preserve"> rather than indeterminacy</w:t>
      </w:r>
      <w:r w:rsidR="0048465E">
        <w:t>.</w:t>
      </w:r>
      <w:r w:rsidR="00007655">
        <w:t xml:space="preserve"> </w:t>
      </w:r>
      <w:r w:rsidR="0048465E">
        <w:t>I</w:t>
      </w:r>
      <w:r w:rsidR="00007655">
        <w:t xml:space="preserve">n his </w:t>
      </w:r>
      <w:r w:rsidR="00007655">
        <w:rPr>
          <w:i/>
          <w:iCs/>
        </w:rPr>
        <w:t>Meccan Revelations</w:t>
      </w:r>
      <w:r w:rsidR="00007655">
        <w:t>, he states that</w:t>
      </w:r>
      <w:r w:rsidR="00BC4D14">
        <w:t xml:space="preserve"> </w:t>
      </w:r>
      <w:r w:rsidR="00EC4570">
        <w:t>the Absolute</w:t>
      </w:r>
      <w:r w:rsidR="002876B2">
        <w:t xml:space="preserve"> </w:t>
      </w:r>
      <w:r w:rsidR="00A749F9">
        <w:t>“</w:t>
      </w:r>
      <w:r w:rsidR="00331B95">
        <w:t>has</w:t>
      </w:r>
      <w:r w:rsidR="00B7334E" w:rsidRPr="00B7334E">
        <w:t xml:space="preserve"> </w:t>
      </w:r>
      <w:r w:rsidR="002876B2">
        <w:t>n</w:t>
      </w:r>
      <w:r w:rsidR="00B7334E" w:rsidRPr="00B7334E">
        <w:t xml:space="preserve">ondelimited </w:t>
      </w:r>
      <w:r w:rsidR="0073416F">
        <w:t>[</w:t>
      </w:r>
      <w:proofErr w:type="spellStart"/>
      <w:r w:rsidR="0073416F" w:rsidRPr="0073416F">
        <w:rPr>
          <w:i/>
          <w:iCs/>
        </w:rPr>
        <w:t>muţlaq</w:t>
      </w:r>
      <w:proofErr w:type="spellEnd"/>
      <w:r w:rsidR="0073416F">
        <w:t xml:space="preserve">] </w:t>
      </w:r>
      <w:r w:rsidR="002876B2">
        <w:t>b</w:t>
      </w:r>
      <w:r w:rsidR="00B7334E" w:rsidRPr="0073416F">
        <w:t>eing</w:t>
      </w:r>
      <w:r w:rsidR="00B7334E" w:rsidRPr="00B7334E">
        <w:t xml:space="preserve">, but no delimitation </w:t>
      </w:r>
      <w:r w:rsidR="0073416F">
        <w:t>[</w:t>
      </w:r>
      <w:proofErr w:type="spellStart"/>
      <w:r w:rsidR="0073416F">
        <w:rPr>
          <w:i/>
          <w:iCs/>
        </w:rPr>
        <w:t>taqyīd</w:t>
      </w:r>
      <w:proofErr w:type="spellEnd"/>
      <w:r w:rsidR="0073416F">
        <w:t>]</w:t>
      </w:r>
      <w:r w:rsidR="0073416F">
        <w:rPr>
          <w:i/>
          <w:iCs/>
        </w:rPr>
        <w:t xml:space="preserve"> </w:t>
      </w:r>
      <w:r w:rsidR="00331B95">
        <w:t>keeps</w:t>
      </w:r>
      <w:r w:rsidR="00B7334E" w:rsidRPr="00B7334E">
        <w:t xml:space="preserve"> </w:t>
      </w:r>
      <w:r w:rsidR="002876B2">
        <w:t>it</w:t>
      </w:r>
      <w:r w:rsidR="00B7334E" w:rsidRPr="00B7334E">
        <w:t xml:space="preserve"> from delimitation. On the </w:t>
      </w:r>
      <w:r w:rsidR="00B7334E" w:rsidRPr="00B7334E">
        <w:lastRenderedPageBreak/>
        <w:t xml:space="preserve">contrary, </w:t>
      </w:r>
      <w:r w:rsidR="002876B2">
        <w:t>it</w:t>
      </w:r>
      <w:r w:rsidR="00B7334E" w:rsidRPr="00B7334E">
        <w:t xml:space="preserve"> </w:t>
      </w:r>
      <w:r w:rsidR="00331B95">
        <w:t>has</w:t>
      </w:r>
      <w:r w:rsidR="00B7334E" w:rsidRPr="00B7334E">
        <w:t xml:space="preserve"> all delimitations, so </w:t>
      </w:r>
      <w:r w:rsidR="00331B95">
        <w:t xml:space="preserve">that </w:t>
      </w:r>
      <w:r w:rsidR="002876B2">
        <w:t>it</w:t>
      </w:r>
      <w:r w:rsidR="00B7334E" w:rsidRPr="00B7334E">
        <w:t xml:space="preserve"> is nondelimited delimitation</w:t>
      </w:r>
      <w:r w:rsidR="00A749F9">
        <w:t>”</w:t>
      </w:r>
      <w:r w:rsidR="00B7334E">
        <w:t>.</w:t>
      </w:r>
      <w:r w:rsidR="00B7334E">
        <w:rPr>
          <w:rStyle w:val="FootnoteReference"/>
        </w:rPr>
        <w:footnoteReference w:id="49"/>
      </w:r>
      <w:r w:rsidR="00007655">
        <w:t xml:space="preserve"> </w:t>
      </w:r>
      <w:r w:rsidR="005C7187">
        <w:t xml:space="preserve">Similar reasoning appears </w:t>
      </w:r>
      <w:r w:rsidR="00653BA9">
        <w:t xml:space="preserve">in his </w:t>
      </w:r>
      <w:proofErr w:type="spellStart"/>
      <w:r w:rsidR="00225AD8">
        <w:rPr>
          <w:i/>
          <w:iCs/>
        </w:rPr>
        <w:t>Ringstones</w:t>
      </w:r>
      <w:proofErr w:type="spellEnd"/>
      <w:r w:rsidR="00653BA9">
        <w:rPr>
          <w:i/>
          <w:iCs/>
        </w:rPr>
        <w:t xml:space="preserve"> of </w:t>
      </w:r>
      <w:r w:rsidR="00653BA9" w:rsidRPr="00653BA9">
        <w:rPr>
          <w:i/>
          <w:iCs/>
        </w:rPr>
        <w:t>Wisdom</w:t>
      </w:r>
      <w:r w:rsidR="00653BA9">
        <w:t xml:space="preserve">: </w:t>
      </w:r>
      <w:r w:rsidR="00A749F9">
        <w:t>“</w:t>
      </w:r>
      <w:r w:rsidR="00225AD8">
        <w:t>Whosoever is distinguishe</w:t>
      </w:r>
      <w:r w:rsidR="00A531AA">
        <w:t>d</w:t>
      </w:r>
      <w:r w:rsidR="00225AD8">
        <w:t xml:space="preserve"> from a delimited thing is delimited by not being identical with that delimited thing</w:t>
      </w:r>
      <w:r w:rsidR="00A749F9">
        <w:t>”</w:t>
      </w:r>
      <w:r w:rsidR="00B740F2">
        <w:t>.</w:t>
      </w:r>
      <w:r w:rsidR="00B740F2">
        <w:rPr>
          <w:rStyle w:val="FootnoteReference"/>
        </w:rPr>
        <w:footnoteReference w:id="50"/>
      </w:r>
      <w:r w:rsidR="00B740F2">
        <w:t xml:space="preserve"> </w:t>
      </w:r>
      <w:r w:rsidR="00B71FE8">
        <w:t>F</w:t>
      </w:r>
      <w:r w:rsidR="00B740F2">
        <w:t xml:space="preserve">rom </w:t>
      </w:r>
      <w:r w:rsidR="00B71FE8">
        <w:t>this</w:t>
      </w:r>
      <w:r w:rsidR="00B740F2">
        <w:t xml:space="preserve"> he concludes that we must </w:t>
      </w:r>
      <w:r w:rsidR="00B740F2" w:rsidRPr="00B740F2">
        <w:rPr>
          <w:i/>
          <w:iCs/>
        </w:rPr>
        <w:t>not</w:t>
      </w:r>
      <w:r w:rsidR="00B740F2">
        <w:t xml:space="preserve"> read the passage from the Quran, </w:t>
      </w:r>
      <w:r w:rsidR="00A749F9">
        <w:t>“</w:t>
      </w:r>
      <w:r w:rsidR="00225AD8">
        <w:rPr>
          <w:i/>
          <w:iCs/>
        </w:rPr>
        <w:t>There is naught like unto Him</w:t>
      </w:r>
      <w:r w:rsidR="00B740F2">
        <w:rPr>
          <w:i/>
          <w:iCs/>
        </w:rPr>
        <w:t xml:space="preserve"> </w:t>
      </w:r>
      <w:r w:rsidR="00B740F2">
        <w:t>[God]</w:t>
      </w:r>
      <w:r w:rsidR="00A749F9">
        <w:t>”</w:t>
      </w:r>
      <w:r w:rsidR="00B740F2">
        <w:t xml:space="preserve"> (42:11)</w:t>
      </w:r>
      <w:r w:rsidR="00B71FE8">
        <w:t>,</w:t>
      </w:r>
      <w:r w:rsidR="00B740F2">
        <w:t xml:space="preserve"> as implying a </w:t>
      </w:r>
      <w:r w:rsidR="00B740F2" w:rsidRPr="00BD79BF">
        <w:t>distinction</w:t>
      </w:r>
      <w:r w:rsidR="00B740F2">
        <w:t xml:space="preserve"> between God and things. Rather, likeness between God and things is denied because their relation is much </w:t>
      </w:r>
      <w:r w:rsidR="00B740F2" w:rsidRPr="00B71FE8">
        <w:rPr>
          <w:i/>
          <w:iCs/>
        </w:rPr>
        <w:t>stronger</w:t>
      </w:r>
      <w:r w:rsidR="00B740F2">
        <w:t>; it is identity</w:t>
      </w:r>
      <w:r w:rsidR="00E87FA2">
        <w:t xml:space="preserve">: </w:t>
      </w:r>
      <w:r w:rsidR="00A749F9">
        <w:t>“</w:t>
      </w:r>
      <w:r w:rsidR="00225AD8">
        <w:t xml:space="preserve">If we take </w:t>
      </w:r>
      <w:r w:rsidR="00225AD8">
        <w:rPr>
          <w:i/>
          <w:iCs/>
        </w:rPr>
        <w:t>Naught is there unto His likeness</w:t>
      </w:r>
      <w:r w:rsidR="00225AD8">
        <w:t xml:space="preserve"> as the negation of likeness, then we will have realized, through this idea and the authentic sayings, that He is identical with things</w:t>
      </w:r>
      <w:r w:rsidR="00A749F9">
        <w:t>”</w:t>
      </w:r>
      <w:r w:rsidR="00E87FA2">
        <w:t>.</w:t>
      </w:r>
      <w:r w:rsidR="00E87FA2">
        <w:rPr>
          <w:rStyle w:val="FootnoteReference"/>
        </w:rPr>
        <w:footnoteReference w:id="51"/>
      </w:r>
      <w:r w:rsidR="00E87FA2">
        <w:t xml:space="preserve"> Ibn </w:t>
      </w:r>
      <w:r w:rsidR="00A749F9">
        <w:t>‘</w:t>
      </w:r>
      <w:proofErr w:type="spellStart"/>
      <w:r w:rsidR="00A749F9">
        <w:t>Arabī</w:t>
      </w:r>
      <w:proofErr w:type="spellEnd"/>
      <w:r w:rsidR="00A749F9">
        <w:t xml:space="preserve"> </w:t>
      </w:r>
      <w:r w:rsidR="00E87FA2">
        <w:t xml:space="preserve">concludes that God: </w:t>
      </w:r>
      <w:r w:rsidR="00A749F9">
        <w:t>“</w:t>
      </w:r>
      <w:r w:rsidR="00225AD8">
        <w:t xml:space="preserve">is delimited through the limit of every delimited thing. </w:t>
      </w:r>
      <w:proofErr w:type="spellStart"/>
      <w:r w:rsidR="00225AD8">
        <w:t>No thing</w:t>
      </w:r>
      <w:proofErr w:type="spellEnd"/>
      <w:r w:rsidR="00225AD8">
        <w:t xml:space="preserve"> is limited without this being the limit of the Real</w:t>
      </w:r>
      <w:r w:rsidR="00A749F9">
        <w:t>”</w:t>
      </w:r>
      <w:r w:rsidR="00225AD8">
        <w:t>.</w:t>
      </w:r>
      <w:r w:rsidR="00E87FA2">
        <w:rPr>
          <w:rStyle w:val="FootnoteReference"/>
        </w:rPr>
        <w:footnoteReference w:id="52"/>
      </w:r>
      <w:r w:rsidR="00E87FA2">
        <w:rPr>
          <w:lang w:val="en-GB"/>
        </w:rPr>
        <w:t xml:space="preserve"> </w:t>
      </w:r>
      <w:r w:rsidR="00E87FA2">
        <w:t>He thus</w:t>
      </w:r>
      <w:r w:rsidR="00372AEC">
        <w:t xml:space="preserve"> appears to embrace the same identity </w:t>
      </w:r>
      <w:r w:rsidR="006C4AC5">
        <w:t>between</w:t>
      </w:r>
      <w:r w:rsidR="00372AEC">
        <w:t xml:space="preserve"> </w:t>
      </w:r>
      <w:r w:rsidR="00E80C35">
        <w:t>God</w:t>
      </w:r>
      <w:r w:rsidR="00372AEC">
        <w:t xml:space="preserve"> and </w:t>
      </w:r>
      <w:r w:rsidR="00E80C35">
        <w:t>particular things</w:t>
      </w:r>
      <w:r w:rsidR="00372AEC">
        <w:t xml:space="preserve"> </w:t>
      </w:r>
      <w:r w:rsidR="006C4AC5">
        <w:t xml:space="preserve">that </w:t>
      </w:r>
      <w:r w:rsidR="00372AEC">
        <w:t>we found in Spinoza</w:t>
      </w:r>
      <w:r w:rsidR="0088351A">
        <w:t>,</w:t>
      </w:r>
      <w:r w:rsidR="00372AEC">
        <w:t xml:space="preserve"> and to have the same motivation for it: God/</w:t>
      </w:r>
      <w:proofErr w:type="spellStart"/>
      <w:r w:rsidR="00372AEC">
        <w:rPr>
          <w:i/>
          <w:iCs/>
        </w:rPr>
        <w:t>wujūd</w:t>
      </w:r>
      <w:proofErr w:type="spellEnd"/>
      <w:r w:rsidR="00BD79BF">
        <w:t>/the Absolute</w:t>
      </w:r>
      <w:r w:rsidR="00372AEC">
        <w:t xml:space="preserve">, being unlimited and </w:t>
      </w:r>
      <w:proofErr w:type="spellStart"/>
      <w:r w:rsidR="00372AEC">
        <w:t>superdeterminate</w:t>
      </w:r>
      <w:proofErr w:type="spellEnd"/>
      <w:r w:rsidR="00372AEC">
        <w:t>, must be determined in every possible way and must, therefore, be identical with a</w:t>
      </w:r>
      <w:r w:rsidR="00B71FE8">
        <w:t xml:space="preserve"> perfectly</w:t>
      </w:r>
      <w:r w:rsidR="00372AEC">
        <w:t xml:space="preserve"> diverse </w:t>
      </w:r>
      <w:r w:rsidR="00B71FE8">
        <w:t>variety</w:t>
      </w:r>
      <w:r w:rsidR="00372AEC">
        <w:t xml:space="preserve"> of determinate things</w:t>
      </w:r>
      <w:r w:rsidR="002D63A0">
        <w:t>.</w:t>
      </w:r>
      <w:r w:rsidR="00EC4570">
        <w:rPr>
          <w:rStyle w:val="FootnoteReference"/>
        </w:rPr>
        <w:footnoteReference w:id="53"/>
      </w:r>
      <w:r w:rsidR="002D63A0">
        <w:t xml:space="preserve"> </w:t>
      </w:r>
    </w:p>
    <w:p w14:paraId="6A75C2F7" w14:textId="37C0086E" w:rsidR="00372AEC" w:rsidRPr="00372AEC" w:rsidRDefault="00145DE4" w:rsidP="00CD703D">
      <w:pPr>
        <w:ind w:firstLine="720"/>
      </w:pPr>
      <w:r>
        <w:t xml:space="preserve">The comparison is further strengthened by the fact that Ibn </w:t>
      </w:r>
      <w:r w:rsidR="00A749F9">
        <w:t>‘</w:t>
      </w:r>
      <w:proofErr w:type="spellStart"/>
      <w:r w:rsidR="00A749F9">
        <w:t>Arabī</w:t>
      </w:r>
      <w:proofErr w:type="spellEnd"/>
      <w:r w:rsidR="00A749F9">
        <w:t xml:space="preserve"> </w:t>
      </w:r>
      <w:r>
        <w:t xml:space="preserve">is like Spinoza and unlike </w:t>
      </w:r>
      <w:r w:rsidR="00C14DF8">
        <w:t>at least some</w:t>
      </w:r>
      <w:r>
        <w:t xml:space="preserve"> Judeo-Christian Neoplatonists </w:t>
      </w:r>
      <w:r w:rsidR="00C14DF8">
        <w:t xml:space="preserve">– those discussed by Wolfson (see above) – </w:t>
      </w:r>
      <w:r>
        <w:t>in rendering the efficient causation of the world of determinate things a matter of necessity rather than volition</w:t>
      </w:r>
      <w:r w:rsidR="00DB6603">
        <w:t>.</w:t>
      </w:r>
      <w:r w:rsidR="0075735E">
        <w:rPr>
          <w:lang w:val="en-US"/>
        </w:rPr>
        <w:t xml:space="preserve"> </w:t>
      </w:r>
      <w:r w:rsidR="00F063EE">
        <w:rPr>
          <w:lang w:val="en-US"/>
        </w:rPr>
        <w:t>Within</w:t>
      </w:r>
      <w:r w:rsidR="00141634">
        <w:rPr>
          <w:lang w:val="en-US"/>
        </w:rPr>
        <w:t xml:space="preserve"> the Jewish tradition</w:t>
      </w:r>
      <w:r w:rsidR="0075735E">
        <w:rPr>
          <w:lang w:val="en-US"/>
        </w:rPr>
        <w:t xml:space="preserve"> </w:t>
      </w:r>
      <w:r w:rsidR="00F063EE">
        <w:rPr>
          <w:lang w:val="en-US"/>
        </w:rPr>
        <w:t>some</w:t>
      </w:r>
      <w:r w:rsidR="0075735E">
        <w:rPr>
          <w:lang w:val="en-US"/>
        </w:rPr>
        <w:t xml:space="preserve"> Kabbalists </w:t>
      </w:r>
      <w:r w:rsidR="00F063EE">
        <w:rPr>
          <w:lang w:val="en-US"/>
        </w:rPr>
        <w:t xml:space="preserve">might be said to </w:t>
      </w:r>
      <w:r w:rsidR="0075735E">
        <w:rPr>
          <w:lang w:val="en-US"/>
        </w:rPr>
        <w:t>regard emanation as necessary rather than volitional and were in other ways closer to Ibn ‘</w:t>
      </w:r>
      <w:proofErr w:type="spellStart"/>
      <w:r w:rsidR="0075735E">
        <w:rPr>
          <w:lang w:val="en-US"/>
        </w:rPr>
        <w:t>Arabī’s</w:t>
      </w:r>
      <w:proofErr w:type="spellEnd"/>
      <w:r w:rsidR="0075735E">
        <w:rPr>
          <w:lang w:val="en-US"/>
        </w:rPr>
        <w:t xml:space="preserve"> </w:t>
      </w:r>
      <w:r w:rsidR="0075735E">
        <w:rPr>
          <w:lang w:val="en-US"/>
        </w:rPr>
        <w:lastRenderedPageBreak/>
        <w:t>position</w:t>
      </w:r>
      <w:r w:rsidR="0075735E">
        <w:rPr>
          <w:lang w:val="en-US"/>
        </w:rPr>
        <w:t>.</w:t>
      </w:r>
      <w:r w:rsidR="00F063EE">
        <w:rPr>
          <w:rStyle w:val="FootnoteReference"/>
          <w:lang w:val="en-US"/>
        </w:rPr>
        <w:footnoteReference w:id="54"/>
      </w:r>
      <w:r w:rsidR="0075735E">
        <w:rPr>
          <w:lang w:val="en-US"/>
        </w:rPr>
        <w:t xml:space="preserve"> </w:t>
      </w:r>
      <w:r w:rsidR="0075735E">
        <w:rPr>
          <w:lang w:val="en-US"/>
        </w:rPr>
        <w:t xml:space="preserve">To compare Spinoza’s thinking with the full range of </w:t>
      </w:r>
      <w:r w:rsidR="009A0E9E">
        <w:rPr>
          <w:lang w:val="en-US"/>
        </w:rPr>
        <w:t>Kabbalistic</w:t>
      </w:r>
      <w:r w:rsidR="0075735E">
        <w:rPr>
          <w:lang w:val="en-US"/>
        </w:rPr>
        <w:t xml:space="preserve"> thought lies beyond the scope of this article (and its author’s expertise)</w:t>
      </w:r>
      <w:r w:rsidR="0075735E">
        <w:rPr>
          <w:lang w:val="en-US"/>
        </w:rPr>
        <w:t>.</w:t>
      </w:r>
      <w:r w:rsidR="009A0E9E">
        <w:rPr>
          <w:rStyle w:val="FootnoteReference"/>
          <w:lang w:val="en-US"/>
        </w:rPr>
        <w:footnoteReference w:id="55"/>
      </w:r>
      <w:r w:rsidR="0075735E">
        <w:rPr>
          <w:lang w:val="en-US"/>
        </w:rPr>
        <w:t xml:space="preserve"> </w:t>
      </w:r>
      <w:r w:rsidR="009206C8">
        <w:rPr>
          <w:lang w:val="en-US"/>
        </w:rPr>
        <w:t>It may well be that ideas in line with Ibn ‘</w:t>
      </w:r>
      <w:proofErr w:type="spellStart"/>
      <w:r w:rsidR="009206C8">
        <w:rPr>
          <w:lang w:val="en-US"/>
        </w:rPr>
        <w:t>Arabī’s</w:t>
      </w:r>
      <w:proofErr w:type="spellEnd"/>
      <w:r w:rsidR="009206C8">
        <w:rPr>
          <w:lang w:val="en-US"/>
        </w:rPr>
        <w:t xml:space="preserve"> position came to Spinoza through Kabbalism. But we should note that Spinoza’s </w:t>
      </w:r>
      <w:r w:rsidR="009206C8" w:rsidRPr="009206C8">
        <w:rPr>
          <w:i/>
          <w:iCs/>
          <w:lang w:val="en-US"/>
        </w:rPr>
        <w:t>direct</w:t>
      </w:r>
      <w:r w:rsidR="009206C8">
        <w:rPr>
          <w:lang w:val="en-US"/>
        </w:rPr>
        <w:t xml:space="preserve"> understanding of </w:t>
      </w:r>
      <w:r w:rsidR="0075735E">
        <w:rPr>
          <w:lang w:val="en-US"/>
        </w:rPr>
        <w:t>Kabbalism is likely to have been heavily influenced by his near-contemporary Abraham de Cohen Herrera</w:t>
      </w:r>
      <w:r w:rsidR="008525D0">
        <w:rPr>
          <w:lang w:val="en-US"/>
        </w:rPr>
        <w:t>,</w:t>
      </w:r>
      <w:r w:rsidR="009A0E9E">
        <w:rPr>
          <w:rStyle w:val="FootnoteReference"/>
          <w:lang w:val="en-US"/>
        </w:rPr>
        <w:footnoteReference w:id="56"/>
      </w:r>
      <w:r w:rsidR="0075735E">
        <w:t xml:space="preserve"> </w:t>
      </w:r>
      <w:r w:rsidR="008525D0">
        <w:t xml:space="preserve">and </w:t>
      </w:r>
      <w:r w:rsidR="0075735E">
        <w:rPr>
          <w:lang w:val="en-US"/>
        </w:rPr>
        <w:t xml:space="preserve">Herrera’s </w:t>
      </w:r>
      <w:r w:rsidR="0075735E">
        <w:rPr>
          <w:lang w:val="en-US"/>
        </w:rPr>
        <w:t xml:space="preserve">thinking </w:t>
      </w:r>
      <w:r w:rsidR="0075735E">
        <w:rPr>
          <w:lang w:val="en-US"/>
        </w:rPr>
        <w:t>appears to fit Wolfson’s description</w:t>
      </w:r>
      <w:r w:rsidR="008525D0">
        <w:rPr>
          <w:lang w:val="en-US"/>
        </w:rPr>
        <w:t xml:space="preserve"> of Neoplatonism on the key points at issue</w:t>
      </w:r>
      <w:r w:rsidR="0075735E">
        <w:rPr>
          <w:lang w:val="en-US"/>
        </w:rPr>
        <w:t xml:space="preserve">. </w:t>
      </w:r>
      <w:r w:rsidR="008525D0">
        <w:rPr>
          <w:lang w:val="en-US"/>
        </w:rPr>
        <w:t>T</w:t>
      </w:r>
      <w:r w:rsidR="0075735E">
        <w:rPr>
          <w:lang w:val="en-US"/>
        </w:rPr>
        <w:t>he First Cause</w:t>
      </w:r>
      <w:r w:rsidR="008525D0">
        <w:rPr>
          <w:lang w:val="en-US"/>
        </w:rPr>
        <w:t>, according to Herrera,</w:t>
      </w:r>
      <w:r w:rsidR="0075735E">
        <w:rPr>
          <w:lang w:val="en-US"/>
        </w:rPr>
        <w:t xml:space="preserve"> “</w:t>
      </w:r>
      <w:r w:rsidR="008525D0">
        <w:rPr>
          <w:lang w:val="en-US"/>
        </w:rPr>
        <w:t xml:space="preserve">does </w:t>
      </w:r>
      <w:r w:rsidR="0075735E">
        <w:rPr>
          <w:lang w:val="en-US"/>
        </w:rPr>
        <w:t>not act by necessity or in accordance with its nature but rather following the counsel of its understanding and the free choice of its own will and consent”</w:t>
      </w:r>
      <w:r w:rsidR="00141634">
        <w:rPr>
          <w:lang w:val="en-US"/>
        </w:rPr>
        <w:t>.</w:t>
      </w:r>
      <w:r w:rsidR="00141634">
        <w:rPr>
          <w:rStyle w:val="FootnoteReference"/>
          <w:lang w:val="en-US"/>
        </w:rPr>
        <w:footnoteReference w:id="57"/>
      </w:r>
      <w:r w:rsidR="0075735E">
        <w:t xml:space="preserve"> </w:t>
      </w:r>
      <w:r w:rsidR="00141634">
        <w:t>This is in contrast to Ibn ‘</w:t>
      </w:r>
      <w:proofErr w:type="spellStart"/>
      <w:r w:rsidR="00141634">
        <w:t>Arabī’s</w:t>
      </w:r>
      <w:proofErr w:type="spellEnd"/>
      <w:r w:rsidR="00141634">
        <w:t xml:space="preserve"> position as described by </w:t>
      </w:r>
      <w:proofErr w:type="spellStart"/>
      <w:r w:rsidR="00BD79BF">
        <w:t>Izutsu</w:t>
      </w:r>
      <w:proofErr w:type="spellEnd"/>
      <w:r>
        <w:t xml:space="preserve">: </w:t>
      </w:r>
      <w:r w:rsidR="00A749F9">
        <w:t>“</w:t>
      </w:r>
      <w:r w:rsidRPr="00B441F4">
        <w:t xml:space="preserve">Existence, in compliance with its own </w:t>
      </w:r>
      <w:r w:rsidRPr="00D75859">
        <w:t>necessary and natural internal demand</w:t>
      </w:r>
      <w:r w:rsidRPr="00B441F4">
        <w:t>, goes on inexhaustibly determining itself into an infinity of concrete things</w:t>
      </w:r>
      <w:r w:rsidR="00A749F9">
        <w:t>”</w:t>
      </w:r>
      <w:r w:rsidRPr="00B441F4">
        <w:t>.</w:t>
      </w:r>
      <w:r w:rsidRPr="005F3607">
        <w:rPr>
          <w:rStyle w:val="FootnoteReference"/>
        </w:rPr>
        <w:footnoteReference w:id="58"/>
      </w:r>
      <w:r>
        <w:t xml:space="preserve"> </w:t>
      </w:r>
      <w:r w:rsidR="008525D0">
        <w:t>T</w:t>
      </w:r>
      <w:r>
        <w:t xml:space="preserve">his necessity </w:t>
      </w:r>
      <w:r w:rsidR="00504C78">
        <w:t>can be</w:t>
      </w:r>
      <w:r w:rsidR="0088351A">
        <w:t xml:space="preserve"> </w:t>
      </w:r>
      <w:r>
        <w:t xml:space="preserve">explained, </w:t>
      </w:r>
      <w:r w:rsidR="008525D0">
        <w:t>I argued above</w:t>
      </w:r>
      <w:r>
        <w:t xml:space="preserve">, </w:t>
      </w:r>
      <w:r w:rsidR="0088351A">
        <w:t xml:space="preserve">by the </w:t>
      </w:r>
      <w:proofErr w:type="spellStart"/>
      <w:r w:rsidR="0088351A">
        <w:t>superdeterminate</w:t>
      </w:r>
      <w:proofErr w:type="spellEnd"/>
      <w:r w:rsidR="0088351A">
        <w:t xml:space="preserve"> nature of</w:t>
      </w:r>
      <w:r w:rsidR="00504C78">
        <w:t xml:space="preserve"> the </w:t>
      </w:r>
      <w:r w:rsidR="009B386F">
        <w:t>divine</w:t>
      </w:r>
      <w:r w:rsidR="00504C78">
        <w:t xml:space="preserve"> being</w:t>
      </w:r>
      <w:r w:rsidR="0088351A">
        <w:t>, requir</w:t>
      </w:r>
      <w:r w:rsidR="00F93010">
        <w:t>ing</w:t>
      </w:r>
      <w:r w:rsidR="0088351A">
        <w:t xml:space="preserve"> expression in a </w:t>
      </w:r>
      <w:r w:rsidR="00E16489">
        <w:t>plurality of</w:t>
      </w:r>
      <w:r>
        <w:t xml:space="preserve"> determinate things</w:t>
      </w:r>
      <w:r w:rsidR="008525D0">
        <w:t xml:space="preserve">, whereas </w:t>
      </w:r>
      <w:r w:rsidR="008525D0">
        <w:rPr>
          <w:lang w:val="en-US"/>
        </w:rPr>
        <w:t xml:space="preserve">Herrera views the First Cause as indeterminate rather than </w:t>
      </w:r>
      <w:proofErr w:type="spellStart"/>
      <w:r w:rsidR="008525D0">
        <w:rPr>
          <w:lang w:val="en-US"/>
        </w:rPr>
        <w:t>superdeterminate</w:t>
      </w:r>
      <w:proofErr w:type="spellEnd"/>
      <w:r w:rsidR="008525D0">
        <w:rPr>
          <w:lang w:val="en-US"/>
        </w:rPr>
        <w:t>: “not contained by any class, restricted by any difference, or bound to any species or limited nature of things or to all of them together</w:t>
      </w:r>
      <w:r w:rsidR="008525D0">
        <w:rPr>
          <w:lang w:val="en-US"/>
        </w:rPr>
        <w:t>”.</w:t>
      </w:r>
      <w:r w:rsidR="008525D0">
        <w:rPr>
          <w:rStyle w:val="FootnoteReference"/>
          <w:lang w:val="en-US"/>
        </w:rPr>
        <w:footnoteReference w:id="59"/>
      </w:r>
      <w:r w:rsidR="008525D0">
        <w:rPr>
          <w:lang w:val="en-US"/>
        </w:rPr>
        <w:t xml:space="preserve"> </w:t>
      </w:r>
      <w:r w:rsidR="008525D0">
        <w:rPr>
          <w:lang w:val="en-US"/>
        </w:rPr>
        <w:t>Spinoza’s sole explicit reference to the Kabbalah is negative in tone (TTP ch.9, O3.370; G 135-6)</w:t>
      </w:r>
      <w:r w:rsidR="008525D0">
        <w:rPr>
          <w:lang w:val="en-US"/>
        </w:rPr>
        <w:t xml:space="preserve">, but perhaps he was subtly influenced by Kabbalistic ideas distinct from those he explicitly identified with the </w:t>
      </w:r>
      <w:r w:rsidR="008525D0">
        <w:rPr>
          <w:lang w:val="en-US"/>
        </w:rPr>
        <w:lastRenderedPageBreak/>
        <w:t>tradition due to authors such as Herrera.</w:t>
      </w:r>
      <w:r w:rsidR="00F063EE">
        <w:rPr>
          <w:lang w:val="en-US"/>
        </w:rPr>
        <w:t xml:space="preserve"> I focus on Ibn ‘</w:t>
      </w:r>
      <w:proofErr w:type="spellStart"/>
      <w:r w:rsidR="00F063EE">
        <w:rPr>
          <w:lang w:val="en-US"/>
        </w:rPr>
        <w:t>Arabī</w:t>
      </w:r>
      <w:proofErr w:type="spellEnd"/>
      <w:r w:rsidR="00F063EE">
        <w:rPr>
          <w:lang w:val="en-US"/>
        </w:rPr>
        <w:t>, in any case, as a source who expresses with exceptional clarity the views I am ascribing to Spinoza.</w:t>
      </w:r>
    </w:p>
    <w:p w14:paraId="75444576" w14:textId="232B9499" w:rsidR="00F066A3" w:rsidRDefault="00D518F2" w:rsidP="004D7CE2">
      <w:pPr>
        <w:ind w:firstLine="720"/>
      </w:pPr>
      <w:proofErr w:type="spellStart"/>
      <w:r>
        <w:t>Eriugena</w:t>
      </w:r>
      <w:proofErr w:type="spellEnd"/>
      <w:r w:rsidR="00D75859">
        <w:t>, we saw,</w:t>
      </w:r>
      <w:r>
        <w:t xml:space="preserve"> hesitate</w:t>
      </w:r>
      <w:r w:rsidR="005105F1">
        <w:t>s</w:t>
      </w:r>
      <w:r>
        <w:t xml:space="preserve"> </w:t>
      </w:r>
      <w:r w:rsidR="005105F1">
        <w:t>before</w:t>
      </w:r>
      <w:r>
        <w:t xml:space="preserve"> the step into pantheism, perhaps fearing the apparent contradictions involved in identifying God with creature</w:t>
      </w:r>
      <w:r w:rsidR="00ED2683">
        <w:t>s</w:t>
      </w:r>
      <w:r>
        <w:t xml:space="preserve">. </w:t>
      </w:r>
      <w:r w:rsidR="00145DE4">
        <w:t>I</w:t>
      </w:r>
      <w:r>
        <w:t>bn</w:t>
      </w:r>
      <w:r w:rsidR="00145DE4">
        <w:t xml:space="preserve"> </w:t>
      </w:r>
      <w:r w:rsidR="00A749F9">
        <w:t>‘</w:t>
      </w:r>
      <w:proofErr w:type="spellStart"/>
      <w:r w:rsidR="00A749F9">
        <w:t>Arabī</w:t>
      </w:r>
      <w:proofErr w:type="spellEnd"/>
      <w:r w:rsidR="00A749F9">
        <w:t xml:space="preserve"> </w:t>
      </w:r>
      <w:r>
        <w:t xml:space="preserve">appears to have no such concern, at least in </w:t>
      </w:r>
      <w:proofErr w:type="spellStart"/>
      <w:r>
        <w:t>Izutsu</w:t>
      </w:r>
      <w:r w:rsidR="0075735E">
        <w:t>’</w:t>
      </w:r>
      <w:r>
        <w:t>s</w:t>
      </w:r>
      <w:proofErr w:type="spellEnd"/>
      <w:r>
        <w:t xml:space="preserve"> exegesis</w:t>
      </w:r>
      <w:r w:rsidR="00D75859">
        <w:t xml:space="preserve">, which states that since each thing and event in the world is a </w:t>
      </w:r>
      <w:r w:rsidR="00A749F9">
        <w:t>“</w:t>
      </w:r>
      <w:r w:rsidR="00D75859">
        <w:t>self-determination</w:t>
      </w:r>
      <w:r w:rsidR="00A749F9">
        <w:t>”</w:t>
      </w:r>
      <w:r w:rsidR="00D75859">
        <w:t xml:space="preserve"> o</w:t>
      </w:r>
      <w:r w:rsidR="003378E6">
        <w:t>f the Absolute</w:t>
      </w:r>
      <w:r w:rsidR="00D75859">
        <w:t>,</w:t>
      </w:r>
      <w:r>
        <w:t xml:space="preserve"> </w:t>
      </w:r>
      <w:r w:rsidR="00A749F9">
        <w:t>“</w:t>
      </w:r>
      <w:r>
        <w:t>the world of Being cannot</w:t>
      </w:r>
      <w:r w:rsidR="00D75859">
        <w:t xml:space="preserve"> be grasped in its true form except as a synthesis of contradictions. Only by a simultaneous affirmation of contradictories can we understand the real nature of the world</w:t>
      </w:r>
      <w:r w:rsidR="00A749F9">
        <w:t>”</w:t>
      </w:r>
      <w:r w:rsidR="00D75859">
        <w:t>.</w:t>
      </w:r>
      <w:r w:rsidR="00D75859">
        <w:rPr>
          <w:rStyle w:val="FootnoteReference"/>
        </w:rPr>
        <w:footnoteReference w:id="60"/>
      </w:r>
      <w:r w:rsidR="00D75859">
        <w:t xml:space="preserve"> </w:t>
      </w:r>
      <w:r w:rsidR="00AF10C2">
        <w:t xml:space="preserve">Nor does Ibn </w:t>
      </w:r>
      <w:r w:rsidR="00A749F9">
        <w:t>‘</w:t>
      </w:r>
      <w:proofErr w:type="spellStart"/>
      <w:r w:rsidR="00A749F9">
        <w:t>Arabī</w:t>
      </w:r>
      <w:proofErr w:type="spellEnd"/>
      <w:r w:rsidR="00A749F9">
        <w:t xml:space="preserve"> </w:t>
      </w:r>
      <w:r w:rsidR="00AF10C2">
        <w:t xml:space="preserve">seem </w:t>
      </w:r>
      <w:r w:rsidR="00F066A3">
        <w:t>unduly</w:t>
      </w:r>
      <w:r w:rsidR="00AF10C2">
        <w:t xml:space="preserve"> troubled about the Indiscernibility of </w:t>
      </w:r>
      <w:proofErr w:type="spellStart"/>
      <w:r w:rsidR="00AF10C2">
        <w:t>Identicals</w:t>
      </w:r>
      <w:proofErr w:type="spellEnd"/>
      <w:r w:rsidR="00F066A3">
        <w:t>.</w:t>
      </w:r>
      <w:r w:rsidR="00AF10C2">
        <w:t xml:space="preserve"> </w:t>
      </w:r>
      <w:r w:rsidR="00F066A3">
        <w:t>A</w:t>
      </w:r>
      <w:r w:rsidR="00AF10C2">
        <w:t xml:space="preserve">ccording to Abdul </w:t>
      </w:r>
      <w:proofErr w:type="spellStart"/>
      <w:r w:rsidR="00AF10C2">
        <w:t>Haq</w:t>
      </w:r>
      <w:proofErr w:type="spellEnd"/>
      <w:r w:rsidR="00AF10C2">
        <w:t xml:space="preserve"> Ansari,</w:t>
      </w:r>
      <w:r w:rsidR="00F066A3">
        <w:t xml:space="preserve"> </w:t>
      </w:r>
      <w:r w:rsidR="00A749F9">
        <w:t>“</w:t>
      </w:r>
      <w:r w:rsidR="00F066A3">
        <w:t xml:space="preserve">In the </w:t>
      </w:r>
      <w:proofErr w:type="spellStart"/>
      <w:r w:rsidR="00F066A3">
        <w:rPr>
          <w:i/>
          <w:iCs/>
        </w:rPr>
        <w:t>wujūdī</w:t>
      </w:r>
      <w:proofErr w:type="spellEnd"/>
      <w:r w:rsidR="00F066A3">
        <w:rPr>
          <w:i/>
          <w:iCs/>
        </w:rPr>
        <w:t xml:space="preserve"> </w:t>
      </w:r>
      <w:r w:rsidR="00F066A3">
        <w:t>system […] the world is not a plurality of beings. There is just One Being there which appears here in this form and there in that form</w:t>
      </w:r>
      <w:r w:rsidR="00A749F9">
        <w:t>”</w:t>
      </w:r>
      <w:r w:rsidR="00F066A3">
        <w:t>.</w:t>
      </w:r>
      <w:r w:rsidR="00F066A3">
        <w:rPr>
          <w:rStyle w:val="FootnoteReference"/>
        </w:rPr>
        <w:footnoteReference w:id="61"/>
      </w:r>
      <w:r w:rsidR="00F066A3">
        <w:t xml:space="preserve"> Moreover:</w:t>
      </w:r>
    </w:p>
    <w:p w14:paraId="13AC85C8" w14:textId="275B771F" w:rsidR="00AD210D" w:rsidRPr="00F066A3" w:rsidRDefault="00F066A3" w:rsidP="00F066A3">
      <w:pPr>
        <w:pStyle w:val="Quote"/>
      </w:pPr>
      <w:r>
        <w:t>it is not the case that a part of the Absolute appears in one being and another part in some other being. Nor is the case that there is more of it in one form and less in another. The Absolute appears in all forms without suffering any division or diminution.</w:t>
      </w:r>
      <w:r>
        <w:rPr>
          <w:rStyle w:val="FootnoteReference"/>
        </w:rPr>
        <w:footnoteReference w:id="62"/>
      </w:r>
    </w:p>
    <w:p w14:paraId="5910C8DD" w14:textId="0B1132E5" w:rsidR="00C84C52" w:rsidRDefault="00C84C52" w:rsidP="00C84C52">
      <w:pPr>
        <w:pStyle w:val="Heading1"/>
      </w:pPr>
      <w:r>
        <w:t>7. Conclusion</w:t>
      </w:r>
    </w:p>
    <w:p w14:paraId="28F55F5C" w14:textId="2F68310F" w:rsidR="00E95098" w:rsidRDefault="00C8239F" w:rsidP="00AB1604">
      <w:r>
        <w:t xml:space="preserve">There is much more to be explored in these comparisons. But as far as understanding Spinoza goes, </w:t>
      </w:r>
      <w:r w:rsidR="00C84C52">
        <w:t xml:space="preserve">I propose to </w:t>
      </w:r>
      <w:r>
        <w:t>r</w:t>
      </w:r>
      <w:r w:rsidR="00AD210D">
        <w:t xml:space="preserve">ead </w:t>
      </w:r>
      <w:r>
        <w:t xml:space="preserve">his theory of </w:t>
      </w:r>
      <w:r w:rsidR="00FB00D0">
        <w:t xml:space="preserve">divine </w:t>
      </w:r>
      <w:r>
        <w:t>expression as a type of theophany</w:t>
      </w:r>
      <w:r w:rsidR="00C84C52">
        <w:t xml:space="preserve"> – one that, perhaps like Ibn </w:t>
      </w:r>
      <w:r w:rsidR="00A749F9">
        <w:t>‘</w:t>
      </w:r>
      <w:proofErr w:type="spellStart"/>
      <w:r w:rsidR="00A749F9">
        <w:t>Arabī</w:t>
      </w:r>
      <w:r w:rsidR="009206C8">
        <w:t>’</w:t>
      </w:r>
      <w:r w:rsidR="00C84C52">
        <w:t>s</w:t>
      </w:r>
      <w:proofErr w:type="spellEnd"/>
      <w:r w:rsidR="00C84C52">
        <w:t xml:space="preserve"> </w:t>
      </w:r>
      <w:proofErr w:type="spellStart"/>
      <w:r w:rsidR="00C84C52">
        <w:rPr>
          <w:i/>
          <w:iCs/>
        </w:rPr>
        <w:t>tajallī</w:t>
      </w:r>
      <w:proofErr w:type="spellEnd"/>
      <w:r w:rsidR="00C84C52">
        <w:t xml:space="preserve">, </w:t>
      </w:r>
      <w:r w:rsidR="00FE00EB">
        <w:t xml:space="preserve">explains </w:t>
      </w:r>
      <w:r w:rsidR="00A749F9">
        <w:t>God’s</w:t>
      </w:r>
      <w:r w:rsidR="00FE00EB">
        <w:t xml:space="preserve"> causation </w:t>
      </w:r>
      <w:proofErr w:type="gramStart"/>
      <w:r w:rsidR="00FE00EB">
        <w:t>of particular, determinate</w:t>
      </w:r>
      <w:proofErr w:type="gramEnd"/>
      <w:r w:rsidR="00FE00EB">
        <w:t xml:space="preserve"> things as a necessary consequence of his </w:t>
      </w:r>
      <w:proofErr w:type="spellStart"/>
      <w:r w:rsidR="00FE00EB">
        <w:t>superdeterminate</w:t>
      </w:r>
      <w:proofErr w:type="spellEnd"/>
      <w:r w:rsidR="00FE00EB">
        <w:t xml:space="preserve"> nature. This makes it</w:t>
      </w:r>
      <w:r w:rsidR="00C84C52">
        <w:t xml:space="preserve"> unlike </w:t>
      </w:r>
      <w:r w:rsidR="00FE00EB">
        <w:t xml:space="preserve">better-known forms of Neoplatonism (at least in the West), which treat </w:t>
      </w:r>
      <w:r w:rsidR="00A749F9">
        <w:t>God’s</w:t>
      </w:r>
      <w:r w:rsidR="00FE00EB">
        <w:t xml:space="preserve"> creatures as voluntary self-manifestations of his indeterminate nature.</w:t>
      </w:r>
      <w:r w:rsidR="00C84C52">
        <w:t xml:space="preserve"> </w:t>
      </w:r>
      <w:r w:rsidR="00FB00D0">
        <w:t>Reading</w:t>
      </w:r>
      <w:r w:rsidR="00FE00EB">
        <w:t xml:space="preserve"> </w:t>
      </w:r>
      <w:r w:rsidR="00A749F9">
        <w:t xml:space="preserve">Spinoza’s </w:t>
      </w:r>
      <w:r w:rsidR="00FB00D0">
        <w:t>theory of divine expression as a heterodox theophany</w:t>
      </w:r>
      <w:r w:rsidR="00FE00EB">
        <w:t xml:space="preserve"> </w:t>
      </w:r>
      <w:r w:rsidR="00EC4C9F">
        <w:t xml:space="preserve">allows </w:t>
      </w:r>
      <w:r w:rsidR="002D4EB0">
        <w:t>us to understand</w:t>
      </w:r>
      <w:r w:rsidR="001E70E0">
        <w:t xml:space="preserve"> </w:t>
      </w:r>
      <w:r w:rsidR="00FB00D0">
        <w:t xml:space="preserve">the concept of </w:t>
      </w:r>
      <w:r w:rsidR="00EC4C9F" w:rsidRPr="00FB00D0">
        <w:t>expression</w:t>
      </w:r>
      <w:r w:rsidR="002D4EB0">
        <w:rPr>
          <w:i/>
          <w:iCs/>
        </w:rPr>
        <w:t xml:space="preserve"> </w:t>
      </w:r>
      <w:r w:rsidR="002D4EB0">
        <w:t xml:space="preserve">in terms of the </w:t>
      </w:r>
      <w:r w:rsidR="002D4EB0">
        <w:lastRenderedPageBreak/>
        <w:t>three relations mentioned above</w:t>
      </w:r>
      <w:r w:rsidR="001E70E0">
        <w:t xml:space="preserve">. When </w:t>
      </w:r>
      <w:proofErr w:type="gramStart"/>
      <w:r>
        <w:t>particular things</w:t>
      </w:r>
      <w:proofErr w:type="gramEnd"/>
      <w:r w:rsidR="00EC4C9F">
        <w:t xml:space="preserve"> express the nature or attributes of God</w:t>
      </w:r>
      <w:r w:rsidR="001E70E0">
        <w:t xml:space="preserve">, </w:t>
      </w:r>
      <w:r w:rsidR="00A90017">
        <w:t xml:space="preserve">this </w:t>
      </w:r>
      <w:r w:rsidR="00E95098">
        <w:t>means</w:t>
      </w:r>
      <w:r w:rsidR="00A90017">
        <w:t>, first, that they</w:t>
      </w:r>
      <w:r w:rsidR="00EC4C9F">
        <w:t xml:space="preserve"> are </w:t>
      </w:r>
      <w:r w:rsidR="00EC4C9F" w:rsidRPr="00EC4C9F">
        <w:rPr>
          <w:i/>
          <w:iCs/>
        </w:rPr>
        <w:t>efficiently caused</w:t>
      </w:r>
      <w:r w:rsidR="00EC4C9F">
        <w:t xml:space="preserve"> by God</w:t>
      </w:r>
      <w:r w:rsidR="001E70E0">
        <w:t xml:space="preserve">, as a necessary consequence of his </w:t>
      </w:r>
      <w:proofErr w:type="spellStart"/>
      <w:r w:rsidR="001E70E0">
        <w:t>superdeterminate</w:t>
      </w:r>
      <w:proofErr w:type="spellEnd"/>
      <w:r w:rsidR="001E70E0">
        <w:t xml:space="preserve"> nature</w:t>
      </w:r>
      <w:r w:rsidR="00EC4C9F">
        <w:t xml:space="preserve">. </w:t>
      </w:r>
      <w:r w:rsidR="00A90017">
        <w:t>It</w:t>
      </w:r>
      <w:r w:rsidR="00EC4C9F">
        <w:t xml:space="preserve"> </w:t>
      </w:r>
      <w:r w:rsidR="00770BC4">
        <w:t>also</w:t>
      </w:r>
      <w:r w:rsidR="00A90017">
        <w:t xml:space="preserve"> </w:t>
      </w:r>
      <w:r w:rsidR="00E95098">
        <w:t>means</w:t>
      </w:r>
      <w:r w:rsidR="00A90017">
        <w:t xml:space="preserve"> that they</w:t>
      </w:r>
      <w:r w:rsidR="00770BC4">
        <w:t xml:space="preserve"> </w:t>
      </w:r>
      <w:r w:rsidR="00EC4C9F" w:rsidRPr="00EC4C9F">
        <w:rPr>
          <w:i/>
          <w:iCs/>
        </w:rPr>
        <w:t>manifest</w:t>
      </w:r>
      <w:r w:rsidR="00EC4C9F">
        <w:t xml:space="preserve"> </w:t>
      </w:r>
      <w:r w:rsidR="00A749F9">
        <w:t>God’s</w:t>
      </w:r>
      <w:r w:rsidR="00E95098">
        <w:t xml:space="preserve"> nature</w:t>
      </w:r>
      <w:r w:rsidR="00EC4C9F">
        <w:t xml:space="preserve">, in </w:t>
      </w:r>
      <w:r w:rsidR="00770BC4">
        <w:t>the sense</w:t>
      </w:r>
      <w:r w:rsidR="00E93AE2">
        <w:t xml:space="preserve"> of signifying </w:t>
      </w:r>
      <w:r w:rsidR="00E95098">
        <w:t>it</w:t>
      </w:r>
      <w:r w:rsidR="00E93AE2">
        <w:t xml:space="preserve">, in the sense noted by Salgado </w:t>
      </w:r>
      <w:proofErr w:type="spellStart"/>
      <w:r w:rsidR="00E93AE2">
        <w:t>Borge</w:t>
      </w:r>
      <w:proofErr w:type="spellEnd"/>
      <w:r w:rsidR="00E93AE2">
        <w:t>.</w:t>
      </w:r>
      <w:r w:rsidR="00E93AE2">
        <w:rPr>
          <w:rStyle w:val="FootnoteReference"/>
        </w:rPr>
        <w:footnoteReference w:id="63"/>
      </w:r>
      <w:r w:rsidR="00E93AE2">
        <w:t xml:space="preserve"> </w:t>
      </w:r>
      <w:r w:rsidR="00E95098">
        <w:t>And, finally,</w:t>
      </w:r>
      <w:r w:rsidR="00EC4C9F">
        <w:t xml:space="preserve"> </w:t>
      </w:r>
      <w:r w:rsidR="00A90017">
        <w:t xml:space="preserve">it </w:t>
      </w:r>
      <w:r w:rsidR="00E95098">
        <w:t>means</w:t>
      </w:r>
      <w:r w:rsidR="00A90017">
        <w:t xml:space="preserve"> that they</w:t>
      </w:r>
      <w:r w:rsidR="00EC4C9F">
        <w:t xml:space="preserve"> are </w:t>
      </w:r>
      <w:r w:rsidR="00EC4C9F" w:rsidRPr="00EC4C9F">
        <w:rPr>
          <w:i/>
          <w:iCs/>
        </w:rPr>
        <w:t>identical to</w:t>
      </w:r>
      <w:r w:rsidR="00EC4C9F">
        <w:t xml:space="preserve"> God, in whatever mysterious sense</w:t>
      </w:r>
      <w:r w:rsidR="00770BC4">
        <w:t xml:space="preserve"> is</w:t>
      </w:r>
      <w:r w:rsidR="00EC4C9F">
        <w:t xml:space="preserve"> required to draw </w:t>
      </w:r>
      <w:r w:rsidR="002168C2">
        <w:t>the</w:t>
      </w:r>
      <w:r w:rsidR="00EC4C9F">
        <w:t xml:space="preserve"> conclusion that, in having </w:t>
      </w:r>
      <w:r w:rsidR="00A749F9">
        <w:t>“</w:t>
      </w:r>
      <w:r w:rsidR="00EC4C9F">
        <w:t>certain and determinate</w:t>
      </w:r>
      <w:r w:rsidR="00A749F9">
        <w:t>”</w:t>
      </w:r>
      <w:r w:rsidR="00EC4C9F">
        <w:t xml:space="preserve"> modes</w:t>
      </w:r>
      <w:r w:rsidR="00822DDF">
        <w:t xml:space="preserve"> of every variety</w:t>
      </w:r>
      <w:r w:rsidR="00EC4C9F">
        <w:t xml:space="preserve">, </w:t>
      </w:r>
      <w:r w:rsidR="00EC4C9F">
        <w:rPr>
          <w:i/>
          <w:iCs/>
        </w:rPr>
        <w:t>God</w:t>
      </w:r>
      <w:r w:rsidR="00822DDF">
        <w:rPr>
          <w:i/>
          <w:iCs/>
        </w:rPr>
        <w:t xml:space="preserve"> himself</w:t>
      </w:r>
      <w:r w:rsidR="00EC4C9F">
        <w:t xml:space="preserve"> is determined</w:t>
      </w:r>
      <w:r w:rsidR="00822DDF">
        <w:t xml:space="preserve"> in every way</w:t>
      </w:r>
      <w:r w:rsidR="0088010F">
        <w:t xml:space="preserve">, </w:t>
      </w:r>
      <w:r w:rsidR="00A90017">
        <w:t xml:space="preserve">as his </w:t>
      </w:r>
      <w:proofErr w:type="spellStart"/>
      <w:r w:rsidR="00A90017">
        <w:t>superdeterminacy</w:t>
      </w:r>
      <w:proofErr w:type="spellEnd"/>
      <w:r w:rsidR="00A90017">
        <w:t xml:space="preserve"> demands</w:t>
      </w:r>
      <w:r w:rsidR="00971116">
        <w:t>.</w:t>
      </w:r>
      <w:r w:rsidR="00AD210D">
        <w:t xml:space="preserve"> However repulsive the conclusions this implies might be to the </w:t>
      </w:r>
      <w:r w:rsidR="00A749F9">
        <w:t>“</w:t>
      </w:r>
      <w:r w:rsidR="00AD210D">
        <w:t>evident notions in our mind</w:t>
      </w:r>
      <w:r w:rsidR="00A749F9">
        <w:t>”</w:t>
      </w:r>
      <w:r w:rsidR="00AD210D">
        <w:t>, it is an idea that Spinoza isn</w:t>
      </w:r>
      <w:r w:rsidR="003A0276">
        <w:t>’</w:t>
      </w:r>
      <w:r w:rsidR="00AD210D">
        <w:t>t alone in having and might have found in his broad reading of diverse philosophical traditions.</w:t>
      </w:r>
    </w:p>
    <w:p w14:paraId="66171B37" w14:textId="09558C63" w:rsidR="003A0276" w:rsidRDefault="00F063EE" w:rsidP="00F063EE">
      <w:pPr>
        <w:pStyle w:val="Heading1"/>
      </w:pPr>
      <w:r>
        <w:t>8. References</w:t>
      </w:r>
    </w:p>
    <w:p w14:paraId="225EAA05" w14:textId="7F6AB0A7" w:rsidR="00694168" w:rsidRPr="00694168" w:rsidRDefault="00694168" w:rsidP="00694168">
      <w:pPr>
        <w:pStyle w:val="Bibliography"/>
      </w:pPr>
      <w:proofErr w:type="spellStart"/>
      <w:r w:rsidRPr="00694168">
        <w:t>Aanen</w:t>
      </w:r>
      <w:proofErr w:type="spellEnd"/>
      <w:r w:rsidRPr="00694168">
        <w:t xml:space="preserve">, Johan. “The Kabbalistic Sources of Spinoza.” </w:t>
      </w:r>
      <w:r w:rsidRPr="00694168">
        <w:rPr>
          <w:i/>
          <w:iCs/>
        </w:rPr>
        <w:t>The Journal of Jewish Thought and Philosophy</w:t>
      </w:r>
      <w:r w:rsidRPr="00694168">
        <w:t xml:space="preserve"> 24, no. 2 (October 28, 2016): 279–99.</w:t>
      </w:r>
    </w:p>
    <w:p w14:paraId="24AD537E" w14:textId="77777777" w:rsidR="00694168" w:rsidRPr="00694168" w:rsidRDefault="00694168" w:rsidP="00694168">
      <w:pPr>
        <w:pStyle w:val="Bibliography"/>
      </w:pPr>
      <w:r w:rsidRPr="00694168">
        <w:t xml:space="preserve">Ansari, Abdul </w:t>
      </w:r>
      <w:proofErr w:type="spellStart"/>
      <w:r w:rsidRPr="00694168">
        <w:t>Haq</w:t>
      </w:r>
      <w:proofErr w:type="spellEnd"/>
      <w:r w:rsidRPr="00694168">
        <w:t>. “Ibn ‘</w:t>
      </w:r>
      <w:proofErr w:type="spellStart"/>
      <w:r w:rsidRPr="00694168">
        <w:t>Arabī</w:t>
      </w:r>
      <w:proofErr w:type="spellEnd"/>
      <w:r w:rsidRPr="00694168">
        <w:t xml:space="preserve">: The Doctrine of </w:t>
      </w:r>
      <w:proofErr w:type="spellStart"/>
      <w:r w:rsidRPr="00694168">
        <w:t>Waḥdat</w:t>
      </w:r>
      <w:proofErr w:type="spellEnd"/>
      <w:r w:rsidRPr="00694168">
        <w:t xml:space="preserve"> al-</w:t>
      </w:r>
      <w:proofErr w:type="spellStart"/>
      <w:r w:rsidRPr="00694168">
        <w:t>Wujūd</w:t>
      </w:r>
      <w:proofErr w:type="spellEnd"/>
      <w:r w:rsidRPr="00694168">
        <w:t xml:space="preserve">.” </w:t>
      </w:r>
      <w:r w:rsidRPr="00694168">
        <w:rPr>
          <w:i/>
          <w:iCs/>
        </w:rPr>
        <w:t>Islamic Studies</w:t>
      </w:r>
      <w:r w:rsidRPr="00694168">
        <w:t xml:space="preserve"> 38, no. 2 (1999): 149–92.</w:t>
      </w:r>
    </w:p>
    <w:p w14:paraId="2868BBCD" w14:textId="77777777" w:rsidR="00694168" w:rsidRPr="00694168" w:rsidRDefault="00694168" w:rsidP="00694168">
      <w:pPr>
        <w:pStyle w:val="Bibliography"/>
      </w:pPr>
      <w:r w:rsidRPr="00694168">
        <w:t xml:space="preserve">Anscombe, Gertrude Elizabeth Margaret, and Peter Thomas </w:t>
      </w:r>
      <w:proofErr w:type="spellStart"/>
      <w:r w:rsidRPr="00694168">
        <w:t>Geach</w:t>
      </w:r>
      <w:proofErr w:type="spellEnd"/>
      <w:r w:rsidRPr="00694168">
        <w:t xml:space="preserve">. </w:t>
      </w:r>
      <w:r w:rsidRPr="00694168">
        <w:rPr>
          <w:i/>
          <w:iCs/>
        </w:rPr>
        <w:t>Three Philosophers</w:t>
      </w:r>
      <w:r w:rsidRPr="00694168">
        <w:t>. Oxford: Wiley-Blackwell, 1973.</w:t>
      </w:r>
    </w:p>
    <w:p w14:paraId="54F975B2" w14:textId="77777777" w:rsidR="00694168" w:rsidRPr="00694168" w:rsidRDefault="00694168" w:rsidP="00694168">
      <w:pPr>
        <w:pStyle w:val="Bibliography"/>
      </w:pPr>
      <w:r w:rsidRPr="00694168">
        <w:t xml:space="preserve">Anscombe, Gertrude Elizabeth Margaret, and Stephan </w:t>
      </w:r>
      <w:proofErr w:type="spellStart"/>
      <w:r w:rsidRPr="00694168">
        <w:t>Körner</w:t>
      </w:r>
      <w:proofErr w:type="spellEnd"/>
      <w:r w:rsidRPr="00694168">
        <w:t xml:space="preserve">. “Symposium: Substance.” </w:t>
      </w:r>
      <w:r w:rsidRPr="00694168">
        <w:rPr>
          <w:i/>
          <w:iCs/>
        </w:rPr>
        <w:t>Proceedings of the Aristotelian Society, Supplementary Volumes</w:t>
      </w:r>
      <w:r w:rsidRPr="00694168">
        <w:t xml:space="preserve"> 38 (1964): 69–90.</w:t>
      </w:r>
    </w:p>
    <w:p w14:paraId="01251FC9" w14:textId="77777777" w:rsidR="00694168" w:rsidRPr="00694168" w:rsidRDefault="00694168" w:rsidP="00694168">
      <w:pPr>
        <w:pStyle w:val="Bibliography"/>
      </w:pPr>
      <w:proofErr w:type="spellStart"/>
      <w:r w:rsidRPr="00694168">
        <w:t>Antognazza</w:t>
      </w:r>
      <w:proofErr w:type="spellEnd"/>
      <w:r w:rsidRPr="00694168">
        <w:t xml:space="preserve">, Maria Rosa. “The </w:t>
      </w:r>
      <w:proofErr w:type="spellStart"/>
      <w:r w:rsidRPr="00694168">
        <w:t>Hypercategorematic</w:t>
      </w:r>
      <w:proofErr w:type="spellEnd"/>
      <w:r w:rsidRPr="00694168">
        <w:t xml:space="preserve"> Infinite.” </w:t>
      </w:r>
      <w:r w:rsidRPr="00694168">
        <w:rPr>
          <w:i/>
          <w:iCs/>
        </w:rPr>
        <w:t>The Leibniz Review</w:t>
      </w:r>
      <w:r w:rsidRPr="00694168">
        <w:t xml:space="preserve"> 25 (July 1, 2015): 5–30.</w:t>
      </w:r>
    </w:p>
    <w:p w14:paraId="084107A3" w14:textId="77777777" w:rsidR="00694168" w:rsidRPr="00694168" w:rsidRDefault="00694168" w:rsidP="00694168">
      <w:pPr>
        <w:pStyle w:val="Bibliography"/>
      </w:pPr>
      <w:r w:rsidRPr="00694168">
        <w:t>‘</w:t>
      </w:r>
      <w:proofErr w:type="spellStart"/>
      <w:r w:rsidRPr="00694168">
        <w:t>Arabī</w:t>
      </w:r>
      <w:proofErr w:type="spellEnd"/>
      <w:r w:rsidRPr="00694168">
        <w:t xml:space="preserve">, Ibn al-. </w:t>
      </w:r>
      <w:r w:rsidRPr="00694168">
        <w:rPr>
          <w:i/>
          <w:iCs/>
        </w:rPr>
        <w:t>Al-</w:t>
      </w:r>
      <w:proofErr w:type="spellStart"/>
      <w:r w:rsidRPr="00694168">
        <w:rPr>
          <w:i/>
          <w:iCs/>
        </w:rPr>
        <w:t>Fūtūhat</w:t>
      </w:r>
      <w:proofErr w:type="spellEnd"/>
      <w:r w:rsidRPr="00694168">
        <w:rPr>
          <w:i/>
          <w:iCs/>
        </w:rPr>
        <w:t xml:space="preserve"> al-</w:t>
      </w:r>
      <w:proofErr w:type="spellStart"/>
      <w:r w:rsidRPr="00694168">
        <w:rPr>
          <w:i/>
          <w:iCs/>
        </w:rPr>
        <w:t>Makkiyah</w:t>
      </w:r>
      <w:proofErr w:type="spellEnd"/>
      <w:r w:rsidRPr="00694168">
        <w:t>. Cairo, 1911.</w:t>
      </w:r>
    </w:p>
    <w:p w14:paraId="41CEB2BC" w14:textId="77777777" w:rsidR="00694168" w:rsidRPr="00694168" w:rsidRDefault="00694168" w:rsidP="00694168">
      <w:pPr>
        <w:pStyle w:val="Bibliography"/>
      </w:pPr>
      <w:r w:rsidRPr="00694168">
        <w:t xml:space="preserve">‘Arabi, Ibn al-. </w:t>
      </w:r>
      <w:proofErr w:type="spellStart"/>
      <w:r w:rsidRPr="00694168">
        <w:rPr>
          <w:i/>
          <w:iCs/>
        </w:rPr>
        <w:t>Ringstones</w:t>
      </w:r>
      <w:proofErr w:type="spellEnd"/>
      <w:r w:rsidRPr="00694168">
        <w:rPr>
          <w:i/>
          <w:iCs/>
        </w:rPr>
        <w:t xml:space="preserve"> of Wisdom</w:t>
      </w:r>
      <w:r w:rsidRPr="00694168">
        <w:t xml:space="preserve">. Translated by Caner </w:t>
      </w:r>
      <w:proofErr w:type="spellStart"/>
      <w:r w:rsidRPr="00694168">
        <w:t>Dagli</w:t>
      </w:r>
      <w:proofErr w:type="spellEnd"/>
      <w:r w:rsidRPr="00694168">
        <w:t xml:space="preserve">. Chicago: </w:t>
      </w:r>
      <w:proofErr w:type="spellStart"/>
      <w:r w:rsidRPr="00694168">
        <w:t>Kazi</w:t>
      </w:r>
      <w:proofErr w:type="spellEnd"/>
      <w:r w:rsidRPr="00694168">
        <w:t>, 2004.</w:t>
      </w:r>
    </w:p>
    <w:p w14:paraId="31ABB652" w14:textId="77777777" w:rsidR="00694168" w:rsidRPr="00694168" w:rsidRDefault="00694168" w:rsidP="00694168">
      <w:pPr>
        <w:pStyle w:val="Bibliography"/>
      </w:pPr>
      <w:proofErr w:type="spellStart"/>
      <w:r w:rsidRPr="00694168">
        <w:t>Aranyosi</w:t>
      </w:r>
      <w:proofErr w:type="spellEnd"/>
      <w:r w:rsidRPr="00694168">
        <w:t xml:space="preserve">, </w:t>
      </w:r>
      <w:proofErr w:type="spellStart"/>
      <w:r w:rsidRPr="00694168">
        <w:t>Ezgi</w:t>
      </w:r>
      <w:proofErr w:type="spellEnd"/>
      <w:r w:rsidRPr="00694168">
        <w:t xml:space="preserve"> </w:t>
      </w:r>
      <w:proofErr w:type="spellStart"/>
      <w:r w:rsidRPr="00694168">
        <w:t>Ulusoy</w:t>
      </w:r>
      <w:proofErr w:type="spellEnd"/>
      <w:r w:rsidRPr="00694168">
        <w:t xml:space="preserve">. “An Enquiry into Sufi Metaphysics.” </w:t>
      </w:r>
      <w:r w:rsidRPr="00694168">
        <w:rPr>
          <w:i/>
          <w:iCs/>
        </w:rPr>
        <w:t>British Journal for the History of Philosophy</w:t>
      </w:r>
      <w:r w:rsidRPr="00694168">
        <w:t xml:space="preserve"> 20, no. 1 (January 1, 2012): 3–22.</w:t>
      </w:r>
    </w:p>
    <w:p w14:paraId="237E25AF" w14:textId="77777777" w:rsidR="00694168" w:rsidRPr="00694168" w:rsidRDefault="00694168" w:rsidP="00694168">
      <w:pPr>
        <w:pStyle w:val="Bibliography"/>
      </w:pPr>
      <w:r w:rsidRPr="00694168">
        <w:t xml:space="preserve">Bacon, Roger. </w:t>
      </w:r>
      <w:r w:rsidRPr="00694168">
        <w:rPr>
          <w:i/>
          <w:iCs/>
        </w:rPr>
        <w:t>On Signs</w:t>
      </w:r>
      <w:r w:rsidRPr="00694168">
        <w:t>. Translated by Thomas Maloney. Toronto: Pontifical Institute of Mediaeval Studies, 2013.</w:t>
      </w:r>
    </w:p>
    <w:p w14:paraId="39785F66" w14:textId="77777777" w:rsidR="00694168" w:rsidRPr="00694168" w:rsidRDefault="00694168" w:rsidP="00694168">
      <w:pPr>
        <w:pStyle w:val="Bibliography"/>
      </w:pPr>
      <w:r w:rsidRPr="00694168">
        <w:t xml:space="preserve">Baxter, Donald. “Oneness, Aspects, and the Neo-Confucians.” In </w:t>
      </w:r>
      <w:r w:rsidRPr="00694168">
        <w:rPr>
          <w:i/>
          <w:iCs/>
        </w:rPr>
        <w:t>The Oneness Hypothesis: Beyond the Boundary of Self</w:t>
      </w:r>
      <w:r w:rsidRPr="00694168">
        <w:t xml:space="preserve">, edited by Philip Ivanhoe, Owen Flanagan, Victoria Harrison, </w:t>
      </w:r>
      <w:proofErr w:type="spellStart"/>
      <w:r w:rsidRPr="00694168">
        <w:t>Hagop</w:t>
      </w:r>
      <w:proofErr w:type="spellEnd"/>
      <w:r w:rsidRPr="00694168">
        <w:t xml:space="preserve"> Sarkissian, and Eric </w:t>
      </w:r>
      <w:proofErr w:type="spellStart"/>
      <w:r w:rsidRPr="00694168">
        <w:t>Schwitzgebel</w:t>
      </w:r>
      <w:proofErr w:type="spellEnd"/>
      <w:r w:rsidRPr="00694168">
        <w:t>, 90–105. New York: Columbia University Press, 2018.</w:t>
      </w:r>
    </w:p>
    <w:p w14:paraId="59F0A811" w14:textId="77777777" w:rsidR="00694168" w:rsidRPr="00694168" w:rsidRDefault="00694168" w:rsidP="00694168">
      <w:pPr>
        <w:pStyle w:val="Bibliography"/>
      </w:pPr>
      <w:r w:rsidRPr="00694168">
        <w:t xml:space="preserve">———. “Self-Differing, Aspects, and Leibniz’s Law.” </w:t>
      </w:r>
      <w:proofErr w:type="spellStart"/>
      <w:r w:rsidRPr="00694168">
        <w:rPr>
          <w:i/>
          <w:iCs/>
        </w:rPr>
        <w:t>Noûs</w:t>
      </w:r>
      <w:proofErr w:type="spellEnd"/>
      <w:r w:rsidRPr="00694168">
        <w:t>, 2017, 1–21.</w:t>
      </w:r>
    </w:p>
    <w:p w14:paraId="006C701E" w14:textId="77777777" w:rsidR="00694168" w:rsidRPr="00694168" w:rsidRDefault="00694168" w:rsidP="00694168">
      <w:pPr>
        <w:pStyle w:val="Bibliography"/>
      </w:pPr>
      <w:r w:rsidRPr="00694168">
        <w:t xml:space="preserve">———. “The Discernibility of </w:t>
      </w:r>
      <w:proofErr w:type="spellStart"/>
      <w:r w:rsidRPr="00694168">
        <w:t>Identicals</w:t>
      </w:r>
      <w:proofErr w:type="spellEnd"/>
      <w:r w:rsidRPr="00694168">
        <w:t xml:space="preserve">.” </w:t>
      </w:r>
      <w:r w:rsidRPr="00694168">
        <w:rPr>
          <w:i/>
          <w:iCs/>
        </w:rPr>
        <w:t>Journal of Philosophical Research</w:t>
      </w:r>
      <w:r w:rsidRPr="00694168">
        <w:t xml:space="preserve"> 24 (1999): 37–55.</w:t>
      </w:r>
    </w:p>
    <w:p w14:paraId="5B15DD81" w14:textId="77777777" w:rsidR="00694168" w:rsidRPr="00694168" w:rsidRDefault="00694168" w:rsidP="00694168">
      <w:pPr>
        <w:pStyle w:val="Bibliography"/>
      </w:pPr>
      <w:r w:rsidRPr="00694168">
        <w:t xml:space="preserve">Bayle, Pierre. </w:t>
      </w:r>
      <w:proofErr w:type="spellStart"/>
      <w:r w:rsidRPr="00694168">
        <w:rPr>
          <w:i/>
          <w:iCs/>
        </w:rPr>
        <w:t>Dictionnaire</w:t>
      </w:r>
      <w:proofErr w:type="spellEnd"/>
      <w:r w:rsidRPr="00694168">
        <w:rPr>
          <w:i/>
          <w:iCs/>
        </w:rPr>
        <w:t xml:space="preserve"> </w:t>
      </w:r>
      <w:proofErr w:type="spellStart"/>
      <w:r w:rsidRPr="00694168">
        <w:rPr>
          <w:i/>
          <w:iCs/>
        </w:rPr>
        <w:t>Historique</w:t>
      </w:r>
      <w:proofErr w:type="spellEnd"/>
      <w:r w:rsidRPr="00694168">
        <w:rPr>
          <w:i/>
          <w:iCs/>
        </w:rPr>
        <w:t xml:space="preserve"> Et Critique</w:t>
      </w:r>
      <w:r w:rsidRPr="00694168">
        <w:t xml:space="preserve">. Amsterdam: </w:t>
      </w:r>
      <w:proofErr w:type="spellStart"/>
      <w:r w:rsidRPr="00694168">
        <w:t>Reinier</w:t>
      </w:r>
      <w:proofErr w:type="spellEnd"/>
      <w:r w:rsidRPr="00694168">
        <w:t xml:space="preserve"> Leers, 1740.</w:t>
      </w:r>
    </w:p>
    <w:p w14:paraId="70DF76F4" w14:textId="77777777" w:rsidR="00694168" w:rsidRPr="00694168" w:rsidRDefault="00694168" w:rsidP="00694168">
      <w:pPr>
        <w:pStyle w:val="Bibliography"/>
      </w:pPr>
      <w:proofErr w:type="spellStart"/>
      <w:r w:rsidRPr="00694168">
        <w:t>Beltrán</w:t>
      </w:r>
      <w:proofErr w:type="spellEnd"/>
      <w:r w:rsidRPr="00694168">
        <w:t xml:space="preserve">, Miquel. </w:t>
      </w:r>
      <w:r w:rsidRPr="00694168">
        <w:rPr>
          <w:i/>
          <w:iCs/>
        </w:rPr>
        <w:t>The Influence of Abraham Cohen de Herrera’s Kabbalah on Spinoza’s Metaphysics</w:t>
      </w:r>
      <w:r w:rsidRPr="00694168">
        <w:t>. Leiden: Brill, 2016.</w:t>
      </w:r>
    </w:p>
    <w:p w14:paraId="47E352D2" w14:textId="77777777" w:rsidR="00694168" w:rsidRPr="00694168" w:rsidRDefault="00694168" w:rsidP="00694168">
      <w:pPr>
        <w:pStyle w:val="Bibliography"/>
      </w:pPr>
      <w:r w:rsidRPr="00694168">
        <w:t xml:space="preserve">Chittick, William. </w:t>
      </w:r>
      <w:r w:rsidRPr="00694168">
        <w:rPr>
          <w:i/>
          <w:iCs/>
        </w:rPr>
        <w:t>The Self-Disclosure of God: Principles of Ibn al</w:t>
      </w:r>
      <w:proofErr w:type="gramStart"/>
      <w:r w:rsidRPr="00694168">
        <w:rPr>
          <w:i/>
          <w:iCs/>
        </w:rPr>
        <w:t>-‘</w:t>
      </w:r>
      <w:proofErr w:type="spellStart"/>
      <w:proofErr w:type="gramEnd"/>
      <w:r w:rsidRPr="00694168">
        <w:rPr>
          <w:i/>
          <w:iCs/>
        </w:rPr>
        <w:t>Arabī’s</w:t>
      </w:r>
      <w:proofErr w:type="spellEnd"/>
      <w:r w:rsidRPr="00694168">
        <w:rPr>
          <w:i/>
          <w:iCs/>
        </w:rPr>
        <w:t xml:space="preserve"> Cosmology</w:t>
      </w:r>
      <w:r w:rsidRPr="00694168">
        <w:t>. Albany: State University of New York Press, 1998.</w:t>
      </w:r>
    </w:p>
    <w:p w14:paraId="76ED1695" w14:textId="77777777" w:rsidR="00694168" w:rsidRPr="00694168" w:rsidRDefault="00694168" w:rsidP="00694168">
      <w:pPr>
        <w:pStyle w:val="Bibliography"/>
      </w:pPr>
      <w:proofErr w:type="spellStart"/>
      <w:r w:rsidRPr="00694168">
        <w:lastRenderedPageBreak/>
        <w:t>Clauberg</w:t>
      </w:r>
      <w:proofErr w:type="spellEnd"/>
      <w:r w:rsidRPr="00694168">
        <w:t xml:space="preserve">, Johann. </w:t>
      </w:r>
      <w:r w:rsidRPr="00694168">
        <w:rPr>
          <w:i/>
          <w:iCs/>
        </w:rPr>
        <w:t xml:space="preserve">Opera Omnia </w:t>
      </w:r>
      <w:proofErr w:type="spellStart"/>
      <w:r w:rsidRPr="00694168">
        <w:rPr>
          <w:i/>
          <w:iCs/>
        </w:rPr>
        <w:t>Philosophica</w:t>
      </w:r>
      <w:proofErr w:type="spellEnd"/>
      <w:r w:rsidRPr="00694168">
        <w:t>. Amsterdam: Olms, 1968.</w:t>
      </w:r>
    </w:p>
    <w:p w14:paraId="0088393C" w14:textId="77777777" w:rsidR="00694168" w:rsidRPr="00694168" w:rsidRDefault="00694168" w:rsidP="00694168">
      <w:pPr>
        <w:pStyle w:val="Bibliography"/>
      </w:pPr>
      <w:r w:rsidRPr="00694168">
        <w:t xml:space="preserve">Deleuze, Gilles. </w:t>
      </w:r>
      <w:r w:rsidRPr="00694168">
        <w:rPr>
          <w:i/>
          <w:iCs/>
        </w:rPr>
        <w:t>Expressionism in Philosophy: Spinoza</w:t>
      </w:r>
      <w:r w:rsidRPr="00694168">
        <w:t xml:space="preserve">. Translated by Martin </w:t>
      </w:r>
      <w:proofErr w:type="spellStart"/>
      <w:r w:rsidRPr="00694168">
        <w:t>Joughin</w:t>
      </w:r>
      <w:proofErr w:type="spellEnd"/>
      <w:r w:rsidRPr="00694168">
        <w:t>. New York: Zone Books, 1992.</w:t>
      </w:r>
    </w:p>
    <w:p w14:paraId="050863E1" w14:textId="77777777" w:rsidR="00694168" w:rsidRPr="00694168" w:rsidRDefault="00694168" w:rsidP="00694168">
      <w:pPr>
        <w:pStyle w:val="Bibliography"/>
      </w:pPr>
      <w:r w:rsidRPr="00694168">
        <w:t xml:space="preserve">Douglas, Alexander. “Quatenus.” In </w:t>
      </w:r>
      <w:r w:rsidRPr="00694168">
        <w:rPr>
          <w:i/>
          <w:iCs/>
        </w:rPr>
        <w:t>Spinoza Cambridge Lexicon</w:t>
      </w:r>
      <w:r w:rsidRPr="00694168">
        <w:t xml:space="preserve">, edited by Karolina </w:t>
      </w:r>
      <w:proofErr w:type="spellStart"/>
      <w:r w:rsidRPr="00694168">
        <w:t>Hübner</w:t>
      </w:r>
      <w:proofErr w:type="spellEnd"/>
      <w:r w:rsidRPr="00694168">
        <w:t xml:space="preserve"> and Justin Steinberg. Cambridge University Press, forthcoming.</w:t>
      </w:r>
    </w:p>
    <w:p w14:paraId="2DEC613E" w14:textId="77777777" w:rsidR="00694168" w:rsidRPr="00694168" w:rsidRDefault="00694168" w:rsidP="00694168">
      <w:pPr>
        <w:pStyle w:val="Bibliography"/>
      </w:pPr>
      <w:r w:rsidRPr="00694168">
        <w:t xml:space="preserve">———. “Quatenus and Spinoza’s Monism.” </w:t>
      </w:r>
      <w:r w:rsidRPr="00694168">
        <w:rPr>
          <w:i/>
          <w:iCs/>
        </w:rPr>
        <w:t>Journal of the History of Philosophy</w:t>
      </w:r>
      <w:r w:rsidRPr="00694168">
        <w:t xml:space="preserve"> 56, no. 2 (April 2018): 261–80.</w:t>
      </w:r>
    </w:p>
    <w:p w14:paraId="605B56D4" w14:textId="77777777" w:rsidR="00694168" w:rsidRPr="00694168" w:rsidRDefault="00694168" w:rsidP="00694168">
      <w:pPr>
        <w:pStyle w:val="Bibliography"/>
      </w:pPr>
      <w:r w:rsidRPr="00694168">
        <w:t xml:space="preserve">———. </w:t>
      </w:r>
      <w:r w:rsidRPr="00694168">
        <w:rPr>
          <w:i/>
          <w:iCs/>
        </w:rPr>
        <w:t xml:space="preserve">Spinoza and Dutch </w:t>
      </w:r>
      <w:proofErr w:type="spellStart"/>
      <w:r w:rsidRPr="00694168">
        <w:rPr>
          <w:i/>
          <w:iCs/>
        </w:rPr>
        <w:t>Cartesianism</w:t>
      </w:r>
      <w:proofErr w:type="spellEnd"/>
      <w:r w:rsidRPr="00694168">
        <w:rPr>
          <w:i/>
          <w:iCs/>
        </w:rPr>
        <w:t>: Philosophy and Theology</w:t>
      </w:r>
      <w:r w:rsidRPr="00694168">
        <w:t>. Oxford: Oxford University Press, 2015.</w:t>
      </w:r>
    </w:p>
    <w:p w14:paraId="2B1EF29F" w14:textId="77777777" w:rsidR="00694168" w:rsidRPr="00694168" w:rsidRDefault="00694168" w:rsidP="00694168">
      <w:pPr>
        <w:pStyle w:val="Bibliography"/>
      </w:pPr>
      <w:proofErr w:type="spellStart"/>
      <w:r w:rsidRPr="00694168">
        <w:t>Duclow</w:t>
      </w:r>
      <w:proofErr w:type="spellEnd"/>
      <w:r w:rsidRPr="00694168">
        <w:t xml:space="preserve">, Donald. “Divine Nothingness and Self-Creation in John Scotus </w:t>
      </w:r>
      <w:proofErr w:type="spellStart"/>
      <w:r w:rsidRPr="00694168">
        <w:t>Eriugena</w:t>
      </w:r>
      <w:proofErr w:type="spellEnd"/>
      <w:r w:rsidRPr="00694168">
        <w:t xml:space="preserve">.” </w:t>
      </w:r>
      <w:r w:rsidRPr="00694168">
        <w:rPr>
          <w:i/>
          <w:iCs/>
        </w:rPr>
        <w:t>The Journal of Religion</w:t>
      </w:r>
      <w:r w:rsidRPr="00694168">
        <w:t xml:space="preserve"> 57, no. 2 (1977): 109–23.</w:t>
      </w:r>
    </w:p>
    <w:p w14:paraId="5D4E999F" w14:textId="77777777" w:rsidR="00694168" w:rsidRPr="00694168" w:rsidRDefault="00694168" w:rsidP="00694168">
      <w:pPr>
        <w:pStyle w:val="Bibliography"/>
      </w:pPr>
      <w:proofErr w:type="spellStart"/>
      <w:r w:rsidRPr="00694168">
        <w:t>Eriugena</w:t>
      </w:r>
      <w:proofErr w:type="spellEnd"/>
      <w:r w:rsidRPr="00694168">
        <w:t xml:space="preserve">, John Scotus. </w:t>
      </w:r>
      <w:proofErr w:type="spellStart"/>
      <w:r w:rsidRPr="00694168">
        <w:rPr>
          <w:i/>
          <w:iCs/>
        </w:rPr>
        <w:t>Periphyseon</w:t>
      </w:r>
      <w:proofErr w:type="spellEnd"/>
      <w:r w:rsidRPr="00694168">
        <w:rPr>
          <w:i/>
          <w:iCs/>
        </w:rPr>
        <w:t>: Division of Nature</w:t>
      </w:r>
      <w:r w:rsidRPr="00694168">
        <w:t>. Translated by I. P. Sheldon-Williams and John O’Meara. Montreal: Dumbarton Oaks, 1987.</w:t>
      </w:r>
    </w:p>
    <w:p w14:paraId="2B685D20" w14:textId="77777777" w:rsidR="00694168" w:rsidRPr="00694168" w:rsidRDefault="00694168" w:rsidP="00694168">
      <w:pPr>
        <w:pStyle w:val="Bibliography"/>
      </w:pPr>
      <w:proofErr w:type="spellStart"/>
      <w:r w:rsidRPr="00694168">
        <w:t>Fredborg</w:t>
      </w:r>
      <w:proofErr w:type="spellEnd"/>
      <w:r w:rsidRPr="00694168">
        <w:t xml:space="preserve">, K.M., </w:t>
      </w:r>
      <w:proofErr w:type="spellStart"/>
      <w:r w:rsidRPr="00694168">
        <w:t>Lauge</w:t>
      </w:r>
      <w:proofErr w:type="spellEnd"/>
      <w:r w:rsidRPr="00694168">
        <w:t xml:space="preserve"> Nielson, and Jan </w:t>
      </w:r>
      <w:proofErr w:type="spellStart"/>
      <w:r w:rsidRPr="00694168">
        <w:t>Pinborg</w:t>
      </w:r>
      <w:proofErr w:type="spellEnd"/>
      <w:r w:rsidRPr="00694168">
        <w:t xml:space="preserve">. “An Unedited Part of Roger Bacon’s ‘Opus </w:t>
      </w:r>
      <w:proofErr w:type="spellStart"/>
      <w:r w:rsidRPr="00694168">
        <w:t>Maius</w:t>
      </w:r>
      <w:proofErr w:type="spellEnd"/>
      <w:r w:rsidRPr="00694168">
        <w:t xml:space="preserve">’: ‘De </w:t>
      </w:r>
      <w:proofErr w:type="spellStart"/>
      <w:r w:rsidRPr="00694168">
        <w:t>Signis</w:t>
      </w:r>
      <w:proofErr w:type="spellEnd"/>
      <w:r w:rsidRPr="00694168">
        <w:t xml:space="preserve">.’” </w:t>
      </w:r>
      <w:proofErr w:type="spellStart"/>
      <w:r w:rsidRPr="00694168">
        <w:rPr>
          <w:i/>
          <w:iCs/>
        </w:rPr>
        <w:t>Traditio</w:t>
      </w:r>
      <w:proofErr w:type="spellEnd"/>
      <w:r w:rsidRPr="00694168">
        <w:t xml:space="preserve"> 34 (1978): 75–136.</w:t>
      </w:r>
    </w:p>
    <w:p w14:paraId="5DC971D6" w14:textId="77777777" w:rsidR="00694168" w:rsidRPr="00694168" w:rsidRDefault="00694168" w:rsidP="00694168">
      <w:pPr>
        <w:pStyle w:val="Bibliography"/>
      </w:pPr>
      <w:proofErr w:type="spellStart"/>
      <w:r w:rsidRPr="00694168">
        <w:t>Freudenthal</w:t>
      </w:r>
      <w:proofErr w:type="spellEnd"/>
      <w:r w:rsidRPr="00694168">
        <w:t xml:space="preserve">, Jacob. </w:t>
      </w:r>
      <w:r w:rsidRPr="00694168">
        <w:rPr>
          <w:i/>
          <w:iCs/>
        </w:rPr>
        <w:t xml:space="preserve">Die </w:t>
      </w:r>
      <w:proofErr w:type="spellStart"/>
      <w:r w:rsidRPr="00694168">
        <w:rPr>
          <w:i/>
          <w:iCs/>
        </w:rPr>
        <w:t>Lebensgeschichte</w:t>
      </w:r>
      <w:proofErr w:type="spellEnd"/>
      <w:r w:rsidRPr="00694168">
        <w:rPr>
          <w:i/>
          <w:iCs/>
        </w:rPr>
        <w:t xml:space="preserve"> Spinoza’s in </w:t>
      </w:r>
      <w:proofErr w:type="spellStart"/>
      <w:r w:rsidRPr="00694168">
        <w:rPr>
          <w:i/>
          <w:iCs/>
        </w:rPr>
        <w:t>Quellenschriften</w:t>
      </w:r>
      <w:proofErr w:type="spellEnd"/>
      <w:r w:rsidRPr="00694168">
        <w:t xml:space="preserve">. Leipzig: Verlag von </w:t>
      </w:r>
      <w:proofErr w:type="spellStart"/>
      <w:r w:rsidRPr="00694168">
        <w:t>Veit</w:t>
      </w:r>
      <w:proofErr w:type="spellEnd"/>
      <w:r w:rsidRPr="00694168">
        <w:t>, 1899.</w:t>
      </w:r>
    </w:p>
    <w:p w14:paraId="1420F716" w14:textId="77777777" w:rsidR="00694168" w:rsidRPr="00694168" w:rsidRDefault="00694168" w:rsidP="00694168">
      <w:pPr>
        <w:pStyle w:val="Bibliography"/>
      </w:pPr>
      <w:proofErr w:type="spellStart"/>
      <w:r w:rsidRPr="00694168">
        <w:t>Gartenberg</w:t>
      </w:r>
      <w:proofErr w:type="spellEnd"/>
      <w:r w:rsidRPr="00694168">
        <w:t>, Zachary Micah. “</w:t>
      </w:r>
      <w:proofErr w:type="spellStart"/>
      <w:r w:rsidRPr="00694168">
        <w:t>Spinozistic</w:t>
      </w:r>
      <w:proofErr w:type="spellEnd"/>
      <w:r w:rsidRPr="00694168">
        <w:t xml:space="preserve"> Expression.” </w:t>
      </w:r>
      <w:r w:rsidRPr="00694168">
        <w:rPr>
          <w:i/>
          <w:iCs/>
        </w:rPr>
        <w:t>Philosopher’s Imprint</w:t>
      </w:r>
      <w:r w:rsidRPr="00694168">
        <w:t xml:space="preserve"> 17, no. 9 (June 16, 2017).</w:t>
      </w:r>
    </w:p>
    <w:p w14:paraId="4FB3C063" w14:textId="77777777" w:rsidR="00694168" w:rsidRPr="00694168" w:rsidRDefault="00694168" w:rsidP="00694168">
      <w:pPr>
        <w:pStyle w:val="Bibliography"/>
      </w:pPr>
      <w:proofErr w:type="spellStart"/>
      <w:r w:rsidRPr="00694168">
        <w:t>Geach</w:t>
      </w:r>
      <w:proofErr w:type="spellEnd"/>
      <w:r w:rsidRPr="00694168">
        <w:t xml:space="preserve">, Peter Thomas. “Form and Existence.” In </w:t>
      </w:r>
      <w:r w:rsidRPr="00694168">
        <w:rPr>
          <w:i/>
          <w:iCs/>
        </w:rPr>
        <w:t>God and the Soul</w:t>
      </w:r>
      <w:r w:rsidRPr="00694168">
        <w:t>, 42–64. South Bend: St. Augustine’s Press, 1969.</w:t>
      </w:r>
    </w:p>
    <w:p w14:paraId="3DE8750D" w14:textId="77777777" w:rsidR="00694168" w:rsidRPr="00694168" w:rsidRDefault="00694168" w:rsidP="00694168">
      <w:pPr>
        <w:pStyle w:val="Bibliography"/>
      </w:pPr>
      <w:proofErr w:type="spellStart"/>
      <w:r w:rsidRPr="00694168">
        <w:t>Guigon</w:t>
      </w:r>
      <w:proofErr w:type="spellEnd"/>
      <w:r w:rsidRPr="00694168">
        <w:t xml:space="preserve">, </w:t>
      </w:r>
      <w:proofErr w:type="spellStart"/>
      <w:r w:rsidRPr="00694168">
        <w:t>Ghislain</w:t>
      </w:r>
      <w:proofErr w:type="spellEnd"/>
      <w:r w:rsidRPr="00694168">
        <w:t xml:space="preserve">. “Spinoza on Composition and Priority.” In </w:t>
      </w:r>
      <w:r w:rsidRPr="00694168">
        <w:rPr>
          <w:i/>
          <w:iCs/>
        </w:rPr>
        <w:t>Spinoza on Monism</w:t>
      </w:r>
      <w:r w:rsidRPr="00694168">
        <w:t xml:space="preserve">, edited by Philip Goff, 183–205. </w:t>
      </w:r>
      <w:proofErr w:type="spellStart"/>
      <w:r w:rsidRPr="00694168">
        <w:t>Houndmills</w:t>
      </w:r>
      <w:proofErr w:type="spellEnd"/>
      <w:r w:rsidRPr="00694168">
        <w:t>: Palgrave, 2011.</w:t>
      </w:r>
    </w:p>
    <w:p w14:paraId="19DF3A75" w14:textId="77777777" w:rsidR="00694168" w:rsidRPr="00694168" w:rsidRDefault="00694168" w:rsidP="00694168">
      <w:pPr>
        <w:pStyle w:val="Bibliography"/>
      </w:pPr>
      <w:r w:rsidRPr="00694168">
        <w:t xml:space="preserve">Herrera, Abraham Cohen de. </w:t>
      </w:r>
      <w:r w:rsidRPr="00694168">
        <w:rPr>
          <w:i/>
          <w:iCs/>
        </w:rPr>
        <w:t>Gate of Heaven</w:t>
      </w:r>
      <w:r w:rsidRPr="00694168">
        <w:t xml:space="preserve">. Translated by Kenneth </w:t>
      </w:r>
      <w:proofErr w:type="spellStart"/>
      <w:r w:rsidRPr="00694168">
        <w:t>Krabbenhoft</w:t>
      </w:r>
      <w:proofErr w:type="spellEnd"/>
      <w:r w:rsidRPr="00694168">
        <w:t>. Leiden: Brill, 2021.</w:t>
      </w:r>
    </w:p>
    <w:p w14:paraId="23D25FF7" w14:textId="77777777" w:rsidR="00694168" w:rsidRPr="00694168" w:rsidRDefault="00694168" w:rsidP="00694168">
      <w:pPr>
        <w:pStyle w:val="Bibliography"/>
      </w:pPr>
      <w:proofErr w:type="spellStart"/>
      <w:r w:rsidRPr="00694168">
        <w:t>Hübner</w:t>
      </w:r>
      <w:proofErr w:type="spellEnd"/>
      <w:r w:rsidRPr="00694168">
        <w:t xml:space="preserve">, Karolina. “Representation and Mind-Body Identity in Spinoza’s Philosophy.” </w:t>
      </w:r>
      <w:r w:rsidRPr="00694168">
        <w:rPr>
          <w:i/>
          <w:iCs/>
        </w:rPr>
        <w:t>Journal of the History of Philosophy</w:t>
      </w:r>
      <w:r w:rsidRPr="00694168">
        <w:t xml:space="preserve"> 60, no. 1 (2022): 47–77.</w:t>
      </w:r>
    </w:p>
    <w:p w14:paraId="58B848D1" w14:textId="77777777" w:rsidR="00694168" w:rsidRPr="00694168" w:rsidRDefault="00694168" w:rsidP="00694168">
      <w:pPr>
        <w:pStyle w:val="Bibliography"/>
      </w:pPr>
      <w:proofErr w:type="spellStart"/>
      <w:r w:rsidRPr="00694168">
        <w:t>Izutsu</w:t>
      </w:r>
      <w:proofErr w:type="spellEnd"/>
      <w:r w:rsidRPr="00694168">
        <w:t xml:space="preserve">, Toshihiko. </w:t>
      </w:r>
      <w:r w:rsidRPr="00694168">
        <w:rPr>
          <w:i/>
          <w:iCs/>
        </w:rPr>
        <w:t>Sufism and Taoism: A Comparative Study of Key Philosophical Concepts</w:t>
      </w:r>
      <w:r w:rsidRPr="00694168">
        <w:t>. Berkeley: University of California Press, 2016.</w:t>
      </w:r>
    </w:p>
    <w:p w14:paraId="30CE5BB5" w14:textId="77777777" w:rsidR="00694168" w:rsidRPr="00694168" w:rsidRDefault="00694168" w:rsidP="00694168">
      <w:pPr>
        <w:pStyle w:val="Bibliography"/>
      </w:pPr>
      <w:r w:rsidRPr="00694168">
        <w:t xml:space="preserve">Joachim, Harold H. </w:t>
      </w:r>
      <w:r w:rsidRPr="00694168">
        <w:rPr>
          <w:i/>
          <w:iCs/>
        </w:rPr>
        <w:t xml:space="preserve">A Study of the Ethics of Spinoza: </w:t>
      </w:r>
      <w:proofErr w:type="spellStart"/>
      <w:r w:rsidRPr="00694168">
        <w:rPr>
          <w:i/>
          <w:iCs/>
        </w:rPr>
        <w:t>Ethica</w:t>
      </w:r>
      <w:proofErr w:type="spellEnd"/>
      <w:r w:rsidRPr="00694168">
        <w:rPr>
          <w:i/>
          <w:iCs/>
        </w:rPr>
        <w:t xml:space="preserve"> </w:t>
      </w:r>
      <w:proofErr w:type="spellStart"/>
      <w:r w:rsidRPr="00694168">
        <w:rPr>
          <w:i/>
          <w:iCs/>
        </w:rPr>
        <w:t>Ordine</w:t>
      </w:r>
      <w:proofErr w:type="spellEnd"/>
      <w:r w:rsidRPr="00694168">
        <w:rPr>
          <w:i/>
          <w:iCs/>
        </w:rPr>
        <w:t xml:space="preserve"> </w:t>
      </w:r>
      <w:proofErr w:type="spellStart"/>
      <w:r w:rsidRPr="00694168">
        <w:rPr>
          <w:i/>
          <w:iCs/>
        </w:rPr>
        <w:t>Geometrico</w:t>
      </w:r>
      <w:proofErr w:type="spellEnd"/>
      <w:r w:rsidRPr="00694168">
        <w:rPr>
          <w:i/>
          <w:iCs/>
        </w:rPr>
        <w:t xml:space="preserve"> </w:t>
      </w:r>
      <w:proofErr w:type="spellStart"/>
      <w:r w:rsidRPr="00694168">
        <w:rPr>
          <w:i/>
          <w:iCs/>
        </w:rPr>
        <w:t>Demonstrata</w:t>
      </w:r>
      <w:proofErr w:type="spellEnd"/>
      <w:r w:rsidRPr="00694168">
        <w:t>. Oxford: Clarendon Press, 1901.</w:t>
      </w:r>
    </w:p>
    <w:p w14:paraId="77A10A2A" w14:textId="77777777" w:rsidR="00694168" w:rsidRPr="00694168" w:rsidRDefault="00694168" w:rsidP="00694168">
      <w:pPr>
        <w:pStyle w:val="Bibliography"/>
      </w:pPr>
      <w:r w:rsidRPr="00694168">
        <w:t xml:space="preserve">Kamal, Muhammad. “Ibn ‘Arabi and Spinoza on God and the World.” </w:t>
      </w:r>
      <w:r w:rsidRPr="00694168">
        <w:rPr>
          <w:i/>
          <w:iCs/>
        </w:rPr>
        <w:t>Open Journal of Philosophy</w:t>
      </w:r>
      <w:r w:rsidRPr="00694168">
        <w:t xml:space="preserve"> 7, no. 4 (September 15, 2017): 409–21.</w:t>
      </w:r>
    </w:p>
    <w:p w14:paraId="780FDE2C" w14:textId="77777777" w:rsidR="00694168" w:rsidRPr="00694168" w:rsidRDefault="00694168" w:rsidP="00694168">
      <w:pPr>
        <w:pStyle w:val="Bibliography"/>
      </w:pPr>
      <w:r w:rsidRPr="00694168">
        <w:t xml:space="preserve">Kenny, Anthony. </w:t>
      </w:r>
      <w:r w:rsidRPr="00694168">
        <w:rPr>
          <w:i/>
          <w:iCs/>
        </w:rPr>
        <w:t>Aquinas</w:t>
      </w:r>
      <w:r w:rsidRPr="00694168">
        <w:t>. Oxford: Oxford University Press, 1980.</w:t>
      </w:r>
    </w:p>
    <w:p w14:paraId="13CB3400" w14:textId="77777777" w:rsidR="00694168" w:rsidRPr="00694168" w:rsidRDefault="00694168" w:rsidP="00694168">
      <w:pPr>
        <w:pStyle w:val="Bibliography"/>
      </w:pPr>
      <w:r w:rsidRPr="00694168">
        <w:t xml:space="preserve">———. </w:t>
      </w:r>
      <w:r w:rsidRPr="00694168">
        <w:rPr>
          <w:i/>
          <w:iCs/>
        </w:rPr>
        <w:t>Aquinas on Being</w:t>
      </w:r>
      <w:r w:rsidRPr="00694168">
        <w:t>. Oxford: Clarendon Press, 2002.</w:t>
      </w:r>
    </w:p>
    <w:p w14:paraId="75969AC5" w14:textId="77777777" w:rsidR="00694168" w:rsidRPr="00694168" w:rsidRDefault="00694168" w:rsidP="00694168">
      <w:pPr>
        <w:pStyle w:val="Bibliography"/>
      </w:pPr>
      <w:r w:rsidRPr="00694168">
        <w:t>———. “</w:t>
      </w:r>
      <w:proofErr w:type="spellStart"/>
      <w:r w:rsidRPr="00694168">
        <w:t>Quidditas</w:t>
      </w:r>
      <w:proofErr w:type="spellEnd"/>
      <w:r w:rsidRPr="00694168">
        <w:t xml:space="preserve"> and </w:t>
      </w:r>
      <w:proofErr w:type="spellStart"/>
      <w:r w:rsidRPr="00694168">
        <w:t>Anitas</w:t>
      </w:r>
      <w:proofErr w:type="spellEnd"/>
      <w:r w:rsidRPr="00694168">
        <w:t xml:space="preserve"> after Frege.” </w:t>
      </w:r>
      <w:proofErr w:type="spellStart"/>
      <w:r w:rsidRPr="00694168">
        <w:rPr>
          <w:i/>
          <w:iCs/>
        </w:rPr>
        <w:t>Giornale</w:t>
      </w:r>
      <w:proofErr w:type="spellEnd"/>
      <w:r w:rsidRPr="00694168">
        <w:rPr>
          <w:i/>
          <w:iCs/>
        </w:rPr>
        <w:t xml:space="preserve"> Di </w:t>
      </w:r>
      <w:proofErr w:type="spellStart"/>
      <w:r w:rsidRPr="00694168">
        <w:rPr>
          <w:i/>
          <w:iCs/>
        </w:rPr>
        <w:t>Metafisica</w:t>
      </w:r>
      <w:proofErr w:type="spellEnd"/>
      <w:r w:rsidRPr="00694168">
        <w:t xml:space="preserve"> 38, no. 1 (2016): 109–18.</w:t>
      </w:r>
    </w:p>
    <w:p w14:paraId="2DBC6F4E" w14:textId="77777777" w:rsidR="00694168" w:rsidRPr="00694168" w:rsidRDefault="00694168" w:rsidP="00694168">
      <w:pPr>
        <w:pStyle w:val="Bibliography"/>
      </w:pPr>
      <w:proofErr w:type="spellStart"/>
      <w:r w:rsidRPr="00694168">
        <w:t>Laerke</w:t>
      </w:r>
      <w:proofErr w:type="spellEnd"/>
      <w:r w:rsidRPr="00694168">
        <w:t xml:space="preserve">, </w:t>
      </w:r>
      <w:proofErr w:type="spellStart"/>
      <w:r w:rsidRPr="00694168">
        <w:t>Mogens</w:t>
      </w:r>
      <w:proofErr w:type="spellEnd"/>
      <w:r w:rsidRPr="00694168">
        <w:t xml:space="preserve">. “‘Deus quatenus’... Sur </w:t>
      </w:r>
      <w:proofErr w:type="spellStart"/>
      <w:r w:rsidRPr="00694168">
        <w:t>l’emploi</w:t>
      </w:r>
      <w:proofErr w:type="spellEnd"/>
      <w:r w:rsidRPr="00694168">
        <w:t xml:space="preserve"> des </w:t>
      </w:r>
      <w:proofErr w:type="spellStart"/>
      <w:r w:rsidRPr="00694168">
        <w:t>particules</w:t>
      </w:r>
      <w:proofErr w:type="spellEnd"/>
      <w:r w:rsidRPr="00694168">
        <w:t xml:space="preserve"> </w:t>
      </w:r>
      <w:proofErr w:type="spellStart"/>
      <w:r w:rsidRPr="00694168">
        <w:t>réduplicatives</w:t>
      </w:r>
      <w:proofErr w:type="spellEnd"/>
      <w:r w:rsidRPr="00694168">
        <w:t xml:space="preserve"> dans </w:t>
      </w:r>
      <w:proofErr w:type="spellStart"/>
      <w:r w:rsidRPr="00694168">
        <w:t>l’Éthique</w:t>
      </w:r>
      <w:proofErr w:type="spellEnd"/>
      <w:r w:rsidRPr="00694168">
        <w:t xml:space="preserve">.” In </w:t>
      </w:r>
      <w:r w:rsidRPr="00694168">
        <w:rPr>
          <w:i/>
          <w:iCs/>
        </w:rPr>
        <w:t xml:space="preserve">Lectures </w:t>
      </w:r>
      <w:proofErr w:type="spellStart"/>
      <w:r w:rsidRPr="00694168">
        <w:rPr>
          <w:i/>
          <w:iCs/>
        </w:rPr>
        <w:t>Contemporaines</w:t>
      </w:r>
      <w:proofErr w:type="spellEnd"/>
      <w:r w:rsidRPr="00694168">
        <w:rPr>
          <w:i/>
          <w:iCs/>
        </w:rPr>
        <w:t xml:space="preserve"> de Spinoza</w:t>
      </w:r>
      <w:r w:rsidRPr="00694168">
        <w:t xml:space="preserve">, edited by M. </w:t>
      </w:r>
      <w:proofErr w:type="spellStart"/>
      <w:r w:rsidRPr="00694168">
        <w:t>Delbraccio</w:t>
      </w:r>
      <w:proofErr w:type="spellEnd"/>
      <w:r w:rsidRPr="00694168">
        <w:t xml:space="preserve">, P.-F. Moreau, and C. Cohen </w:t>
      </w:r>
      <w:proofErr w:type="spellStart"/>
      <w:r w:rsidRPr="00694168">
        <w:t>Boulakia</w:t>
      </w:r>
      <w:proofErr w:type="spellEnd"/>
      <w:r w:rsidRPr="00694168">
        <w:t xml:space="preserve">. Paris: Presses </w:t>
      </w:r>
      <w:proofErr w:type="spellStart"/>
      <w:r w:rsidRPr="00694168">
        <w:t>Universitaires</w:t>
      </w:r>
      <w:proofErr w:type="spellEnd"/>
      <w:r w:rsidRPr="00694168">
        <w:t xml:space="preserve"> de Paris-Sorbonne, 2012.</w:t>
      </w:r>
    </w:p>
    <w:p w14:paraId="3106C101" w14:textId="77777777" w:rsidR="00694168" w:rsidRPr="00694168" w:rsidRDefault="00694168" w:rsidP="00694168">
      <w:pPr>
        <w:pStyle w:val="Bibliography"/>
      </w:pPr>
      <w:r w:rsidRPr="00694168">
        <w:t xml:space="preserve">Lin, Martin. </w:t>
      </w:r>
      <w:r w:rsidRPr="00694168">
        <w:rPr>
          <w:i/>
          <w:iCs/>
        </w:rPr>
        <w:t>Being and Reason: An Essay on Spinoza’s Metaphysics</w:t>
      </w:r>
      <w:r w:rsidRPr="00694168">
        <w:t>. Oxford: Oxford University Press, 2019.</w:t>
      </w:r>
    </w:p>
    <w:p w14:paraId="6B2709A5" w14:textId="77777777" w:rsidR="00694168" w:rsidRPr="00694168" w:rsidRDefault="00694168" w:rsidP="00694168">
      <w:pPr>
        <w:pStyle w:val="Bibliography"/>
      </w:pPr>
      <w:r w:rsidRPr="00694168">
        <w:t xml:space="preserve">———. “Spinoza’s Metaphysics of Desire.” </w:t>
      </w:r>
      <w:proofErr w:type="spellStart"/>
      <w:r w:rsidRPr="00694168">
        <w:rPr>
          <w:i/>
          <w:iCs/>
        </w:rPr>
        <w:t>Archiv</w:t>
      </w:r>
      <w:proofErr w:type="spellEnd"/>
      <w:r w:rsidRPr="00694168">
        <w:rPr>
          <w:i/>
          <w:iCs/>
        </w:rPr>
        <w:t xml:space="preserve"> Für </w:t>
      </w:r>
      <w:proofErr w:type="spellStart"/>
      <w:r w:rsidRPr="00694168">
        <w:rPr>
          <w:i/>
          <w:iCs/>
        </w:rPr>
        <w:t>Geschichte</w:t>
      </w:r>
      <w:proofErr w:type="spellEnd"/>
      <w:r w:rsidRPr="00694168">
        <w:rPr>
          <w:i/>
          <w:iCs/>
        </w:rPr>
        <w:t xml:space="preserve"> Der Philosophie</w:t>
      </w:r>
      <w:r w:rsidRPr="00694168">
        <w:t xml:space="preserve"> 86, no. 1 (2004): 21–55.</w:t>
      </w:r>
    </w:p>
    <w:p w14:paraId="53A9E751" w14:textId="77777777" w:rsidR="00694168" w:rsidRPr="00694168" w:rsidRDefault="00694168" w:rsidP="00694168">
      <w:pPr>
        <w:pStyle w:val="Bibliography"/>
      </w:pPr>
      <w:proofErr w:type="spellStart"/>
      <w:r w:rsidRPr="00694168">
        <w:t>Macherey</w:t>
      </w:r>
      <w:proofErr w:type="spellEnd"/>
      <w:r w:rsidRPr="00694168">
        <w:t xml:space="preserve">, Pierre. </w:t>
      </w:r>
      <w:r w:rsidRPr="00694168">
        <w:rPr>
          <w:i/>
          <w:iCs/>
        </w:rPr>
        <w:t>Hegel or Spinoza</w:t>
      </w:r>
      <w:r w:rsidRPr="00694168">
        <w:t>. Translated by Susan M. Ruddick. Minneapolis: University of Minnesota Press, 2011.</w:t>
      </w:r>
    </w:p>
    <w:p w14:paraId="381BE951" w14:textId="77777777" w:rsidR="00694168" w:rsidRPr="00694168" w:rsidRDefault="00694168" w:rsidP="00694168">
      <w:pPr>
        <w:pStyle w:val="Bibliography"/>
      </w:pPr>
      <w:r w:rsidRPr="00694168">
        <w:t xml:space="preserve">Maurer, Armand. </w:t>
      </w:r>
      <w:r w:rsidRPr="00694168">
        <w:rPr>
          <w:i/>
          <w:iCs/>
        </w:rPr>
        <w:t>Medieval Philosophy</w:t>
      </w:r>
      <w:r w:rsidRPr="00694168">
        <w:t>. Edited by Etienne Gilson. Toronto: Pontifical Institute of Mediaeval Studies, 1982.</w:t>
      </w:r>
    </w:p>
    <w:p w14:paraId="21D28891" w14:textId="77777777" w:rsidR="00694168" w:rsidRPr="00694168" w:rsidRDefault="00694168" w:rsidP="00694168">
      <w:pPr>
        <w:pStyle w:val="Bibliography"/>
      </w:pPr>
      <w:r w:rsidRPr="00694168">
        <w:t>Melamed, Yitzhak. “A Concise Grammar of Pantheism.” Unpublished. Accessed November 25, 2022. https://www.academia.edu/36909644/A_Concise_Grammar_of_Pantheism.</w:t>
      </w:r>
    </w:p>
    <w:p w14:paraId="24CDE8BC" w14:textId="77777777" w:rsidR="00694168" w:rsidRPr="00694168" w:rsidRDefault="00694168" w:rsidP="00694168">
      <w:pPr>
        <w:pStyle w:val="Bibliography"/>
      </w:pPr>
      <w:r w:rsidRPr="00694168">
        <w:lastRenderedPageBreak/>
        <w:t xml:space="preserve">———. “Cohen, Spinoza, and the Nature of Pantheism.” </w:t>
      </w:r>
      <w:r w:rsidRPr="00694168">
        <w:rPr>
          <w:i/>
          <w:iCs/>
        </w:rPr>
        <w:t>Jewish Studies Quarterly</w:t>
      </w:r>
      <w:r w:rsidRPr="00694168">
        <w:t>, 2018, 171–80.</w:t>
      </w:r>
    </w:p>
    <w:p w14:paraId="0A6647C5" w14:textId="77777777" w:rsidR="00694168" w:rsidRPr="00694168" w:rsidRDefault="00694168" w:rsidP="00694168">
      <w:pPr>
        <w:pStyle w:val="Bibliography"/>
      </w:pPr>
      <w:r w:rsidRPr="00694168">
        <w:t xml:space="preserve">———. “‘Omnis </w:t>
      </w:r>
      <w:proofErr w:type="spellStart"/>
      <w:r w:rsidRPr="00694168">
        <w:t>Determinatio</w:t>
      </w:r>
      <w:proofErr w:type="spellEnd"/>
      <w:r w:rsidRPr="00694168">
        <w:t xml:space="preserve"> Est </w:t>
      </w:r>
      <w:proofErr w:type="spellStart"/>
      <w:r w:rsidRPr="00694168">
        <w:t>Negatio</w:t>
      </w:r>
      <w:proofErr w:type="spellEnd"/>
      <w:r w:rsidRPr="00694168">
        <w:t xml:space="preserve">’ – Determination, Negation and Self-Negation in Spinoza, Kant, and Hegel.” In </w:t>
      </w:r>
      <w:r w:rsidRPr="00694168">
        <w:rPr>
          <w:i/>
          <w:iCs/>
        </w:rPr>
        <w:t>Spinoza and German Idealism</w:t>
      </w:r>
      <w:r w:rsidRPr="00694168">
        <w:t>, edited by Eckart Forster and Yitzhak Melamed. Cambridge: Cambridge University Press, 2012.</w:t>
      </w:r>
    </w:p>
    <w:p w14:paraId="10DC1162" w14:textId="77777777" w:rsidR="00694168" w:rsidRPr="00694168" w:rsidRDefault="00694168" w:rsidP="00694168">
      <w:pPr>
        <w:pStyle w:val="Bibliography"/>
      </w:pPr>
      <w:r w:rsidRPr="00694168">
        <w:t xml:space="preserve">———. “Spinoza and the Kabbalah: From the Gate of Heaven to the ‘Field of Holy Apples.’” In </w:t>
      </w:r>
      <w:r w:rsidRPr="00694168">
        <w:rPr>
          <w:i/>
          <w:iCs/>
        </w:rPr>
        <w:t>Early Modern Philosophy &amp; the Kabbalah</w:t>
      </w:r>
      <w:r w:rsidRPr="00694168">
        <w:t xml:space="preserve">, edited by Cristina </w:t>
      </w:r>
      <w:proofErr w:type="spellStart"/>
      <w:r w:rsidRPr="00694168">
        <w:t>Ciucu</w:t>
      </w:r>
      <w:proofErr w:type="spellEnd"/>
      <w:r w:rsidRPr="00694168">
        <w:t>, forthcoming.</w:t>
      </w:r>
    </w:p>
    <w:p w14:paraId="659394A5" w14:textId="77777777" w:rsidR="00694168" w:rsidRPr="00694168" w:rsidRDefault="00694168" w:rsidP="00694168">
      <w:pPr>
        <w:pStyle w:val="Bibliography"/>
      </w:pPr>
      <w:r w:rsidRPr="00694168">
        <w:t xml:space="preserve">———. </w:t>
      </w:r>
      <w:r w:rsidRPr="00694168">
        <w:rPr>
          <w:i/>
          <w:iCs/>
        </w:rPr>
        <w:t>Spinoza’s Metaphysics: Substance and Thought</w:t>
      </w:r>
      <w:r w:rsidRPr="00694168">
        <w:t>. New York: Oxford University Press, 2013.</w:t>
      </w:r>
    </w:p>
    <w:p w14:paraId="69BA790C" w14:textId="77777777" w:rsidR="00694168" w:rsidRPr="00694168" w:rsidRDefault="00694168" w:rsidP="00694168">
      <w:pPr>
        <w:pStyle w:val="Bibliography"/>
      </w:pPr>
      <w:r w:rsidRPr="00694168">
        <w:t xml:space="preserve">Peterman, Alison. “Spinoza on Extension.” </w:t>
      </w:r>
      <w:r w:rsidRPr="00694168">
        <w:rPr>
          <w:i/>
          <w:iCs/>
        </w:rPr>
        <w:t>Philosophers’ Imprint</w:t>
      </w:r>
      <w:r w:rsidRPr="00694168">
        <w:t xml:space="preserve"> 15, no. 14 (2015).</w:t>
      </w:r>
    </w:p>
    <w:p w14:paraId="31C2ABE9" w14:textId="77777777" w:rsidR="00694168" w:rsidRPr="00694168" w:rsidRDefault="00694168" w:rsidP="00694168">
      <w:pPr>
        <w:pStyle w:val="Bibliography"/>
      </w:pPr>
      <w:r w:rsidRPr="00694168">
        <w:t xml:space="preserve">Popkin, Richard. “Spinoza, ‘Neoplatonic Kabbalist?’” In </w:t>
      </w:r>
      <w:r w:rsidRPr="00694168">
        <w:rPr>
          <w:i/>
          <w:iCs/>
        </w:rPr>
        <w:t>Neoplatonism and Jewish Thought</w:t>
      </w:r>
      <w:r w:rsidRPr="00694168">
        <w:t xml:space="preserve">, by </w:t>
      </w:r>
      <w:proofErr w:type="spellStart"/>
      <w:r w:rsidRPr="00694168">
        <w:t>Lenn</w:t>
      </w:r>
      <w:proofErr w:type="spellEnd"/>
      <w:r w:rsidRPr="00694168">
        <w:t xml:space="preserve"> Evan Goodman, 387–4098. New York: SUNY Press, 1992.</w:t>
      </w:r>
    </w:p>
    <w:p w14:paraId="1449C85D" w14:textId="77777777" w:rsidR="00694168" w:rsidRPr="00694168" w:rsidRDefault="00694168" w:rsidP="00694168">
      <w:pPr>
        <w:pStyle w:val="Bibliography"/>
      </w:pPr>
      <w:r w:rsidRPr="00694168">
        <w:t xml:space="preserve">Robinson, Lewis. </w:t>
      </w:r>
      <w:proofErr w:type="spellStart"/>
      <w:r w:rsidRPr="00694168">
        <w:rPr>
          <w:i/>
          <w:iCs/>
        </w:rPr>
        <w:t>Kommentar</w:t>
      </w:r>
      <w:proofErr w:type="spellEnd"/>
      <w:r w:rsidRPr="00694168">
        <w:rPr>
          <w:i/>
          <w:iCs/>
        </w:rPr>
        <w:t xml:space="preserve"> </w:t>
      </w:r>
      <w:proofErr w:type="spellStart"/>
      <w:r w:rsidRPr="00694168">
        <w:rPr>
          <w:i/>
          <w:iCs/>
        </w:rPr>
        <w:t>zu</w:t>
      </w:r>
      <w:proofErr w:type="spellEnd"/>
      <w:r w:rsidRPr="00694168">
        <w:rPr>
          <w:i/>
          <w:iCs/>
        </w:rPr>
        <w:t xml:space="preserve"> </w:t>
      </w:r>
      <w:proofErr w:type="spellStart"/>
      <w:r w:rsidRPr="00694168">
        <w:rPr>
          <w:i/>
          <w:iCs/>
        </w:rPr>
        <w:t>Spinozas</w:t>
      </w:r>
      <w:proofErr w:type="spellEnd"/>
      <w:r w:rsidRPr="00694168">
        <w:rPr>
          <w:i/>
          <w:iCs/>
        </w:rPr>
        <w:t xml:space="preserve"> </w:t>
      </w:r>
      <w:proofErr w:type="spellStart"/>
      <w:r w:rsidRPr="00694168">
        <w:rPr>
          <w:i/>
          <w:iCs/>
        </w:rPr>
        <w:t>Ethik</w:t>
      </w:r>
      <w:proofErr w:type="spellEnd"/>
      <w:r w:rsidRPr="00694168">
        <w:t xml:space="preserve">. Hamburg: Felix </w:t>
      </w:r>
      <w:proofErr w:type="spellStart"/>
      <w:r w:rsidRPr="00694168">
        <w:t>Meiner</w:t>
      </w:r>
      <w:proofErr w:type="spellEnd"/>
      <w:r w:rsidRPr="00694168">
        <w:t>, 1928.</w:t>
      </w:r>
    </w:p>
    <w:p w14:paraId="6D984C88" w14:textId="77777777" w:rsidR="00694168" w:rsidRPr="00694168" w:rsidRDefault="00694168" w:rsidP="00694168">
      <w:pPr>
        <w:pStyle w:val="Bibliography"/>
      </w:pPr>
      <w:r w:rsidRPr="00694168">
        <w:t>Rustom, Mohammed. “Is Ibn Al</w:t>
      </w:r>
      <w:proofErr w:type="gramStart"/>
      <w:r w:rsidRPr="00694168">
        <w:t>-‘</w:t>
      </w:r>
      <w:proofErr w:type="spellStart"/>
      <w:proofErr w:type="gramEnd"/>
      <w:r w:rsidRPr="00694168">
        <w:t>Arabī’s</w:t>
      </w:r>
      <w:proofErr w:type="spellEnd"/>
      <w:r w:rsidRPr="00694168">
        <w:t xml:space="preserve"> Ontology Pantheistic?” </w:t>
      </w:r>
      <w:r w:rsidRPr="00694168">
        <w:rPr>
          <w:i/>
          <w:iCs/>
        </w:rPr>
        <w:t>Journal of Islamic Philosophy</w:t>
      </w:r>
      <w:r w:rsidRPr="00694168">
        <w:t xml:space="preserve"> 2, no. 1 (2006): 53–67.</w:t>
      </w:r>
    </w:p>
    <w:p w14:paraId="06BCF8D1" w14:textId="77777777" w:rsidR="00694168" w:rsidRPr="00694168" w:rsidRDefault="00694168" w:rsidP="00694168">
      <w:pPr>
        <w:pStyle w:val="Bibliography"/>
      </w:pPr>
      <w:r w:rsidRPr="00694168">
        <w:t xml:space="preserve">Salgado </w:t>
      </w:r>
      <w:proofErr w:type="spellStart"/>
      <w:r w:rsidRPr="00694168">
        <w:t>Borge</w:t>
      </w:r>
      <w:proofErr w:type="spellEnd"/>
      <w:r w:rsidRPr="00694168">
        <w:t xml:space="preserve">, Antonio. “Spinoza on Essence Constitution.” </w:t>
      </w:r>
      <w:r w:rsidRPr="00694168">
        <w:rPr>
          <w:i/>
          <w:iCs/>
        </w:rPr>
        <w:t>Philosophia</w:t>
      </w:r>
      <w:r w:rsidRPr="00694168">
        <w:t>, 2022.</w:t>
      </w:r>
    </w:p>
    <w:p w14:paraId="1AA223B3" w14:textId="77777777" w:rsidR="00694168" w:rsidRPr="00694168" w:rsidRDefault="00694168" w:rsidP="00694168">
      <w:pPr>
        <w:pStyle w:val="Bibliography"/>
      </w:pPr>
      <w:r w:rsidRPr="00694168">
        <w:t>———. “</w:t>
      </w:r>
      <w:proofErr w:type="spellStart"/>
      <w:r w:rsidRPr="00694168">
        <w:t>Spinozistic</w:t>
      </w:r>
      <w:proofErr w:type="spellEnd"/>
      <w:r w:rsidRPr="00694168">
        <w:t xml:space="preserve"> Expression as Signification.” </w:t>
      </w:r>
      <w:r w:rsidRPr="00694168">
        <w:rPr>
          <w:i/>
          <w:iCs/>
        </w:rPr>
        <w:t>British Journal for the History of Philosophy</w:t>
      </w:r>
      <w:r w:rsidRPr="00694168">
        <w:t xml:space="preserve"> 30, no. 1 (2022): 24–47.</w:t>
      </w:r>
    </w:p>
    <w:p w14:paraId="59403F3A" w14:textId="77777777" w:rsidR="00694168" w:rsidRPr="00694168" w:rsidRDefault="00694168" w:rsidP="00694168">
      <w:pPr>
        <w:pStyle w:val="Bibliography"/>
      </w:pPr>
      <w:r w:rsidRPr="00694168">
        <w:t xml:space="preserve">Sartre, Jean-Paul. </w:t>
      </w:r>
      <w:r w:rsidRPr="00694168">
        <w:rPr>
          <w:i/>
          <w:iCs/>
        </w:rPr>
        <w:t>Existentialism Is a Humanism</w:t>
      </w:r>
      <w:r w:rsidRPr="00694168">
        <w:t>. Translated by Carol Macomber. New Haven: Yale University Press, 2007.</w:t>
      </w:r>
    </w:p>
    <w:p w14:paraId="10C66C90" w14:textId="77777777" w:rsidR="00694168" w:rsidRPr="00694168" w:rsidRDefault="00694168" w:rsidP="00694168">
      <w:pPr>
        <w:pStyle w:val="Bibliography"/>
      </w:pPr>
      <w:proofErr w:type="spellStart"/>
      <w:r w:rsidRPr="00694168">
        <w:t>Savini</w:t>
      </w:r>
      <w:proofErr w:type="spellEnd"/>
      <w:r w:rsidRPr="00694168">
        <w:t xml:space="preserve">, Massimiliano. </w:t>
      </w:r>
      <w:r w:rsidRPr="00694168">
        <w:rPr>
          <w:i/>
          <w:iCs/>
        </w:rPr>
        <w:t xml:space="preserve">Johannes </w:t>
      </w:r>
      <w:proofErr w:type="spellStart"/>
      <w:r w:rsidRPr="00694168">
        <w:rPr>
          <w:i/>
          <w:iCs/>
        </w:rPr>
        <w:t>Clauberg</w:t>
      </w:r>
      <w:proofErr w:type="spellEnd"/>
      <w:r w:rsidRPr="00694168">
        <w:rPr>
          <w:i/>
          <w:iCs/>
        </w:rPr>
        <w:t xml:space="preserve">, </w:t>
      </w:r>
      <w:proofErr w:type="spellStart"/>
      <w:r w:rsidRPr="00694168">
        <w:rPr>
          <w:i/>
          <w:iCs/>
        </w:rPr>
        <w:t>Methodus</w:t>
      </w:r>
      <w:proofErr w:type="spellEnd"/>
      <w:r w:rsidRPr="00694168">
        <w:rPr>
          <w:i/>
          <w:iCs/>
        </w:rPr>
        <w:t xml:space="preserve"> </w:t>
      </w:r>
      <w:proofErr w:type="spellStart"/>
      <w:r w:rsidRPr="00694168">
        <w:rPr>
          <w:i/>
          <w:iCs/>
        </w:rPr>
        <w:t>cartesiana</w:t>
      </w:r>
      <w:proofErr w:type="spellEnd"/>
      <w:r w:rsidRPr="00694168">
        <w:rPr>
          <w:i/>
          <w:iCs/>
        </w:rPr>
        <w:t xml:space="preserve"> et </w:t>
      </w:r>
      <w:proofErr w:type="spellStart"/>
      <w:r w:rsidRPr="00694168">
        <w:rPr>
          <w:i/>
          <w:iCs/>
        </w:rPr>
        <w:t>ontologie</w:t>
      </w:r>
      <w:proofErr w:type="spellEnd"/>
      <w:r w:rsidRPr="00694168">
        <w:t xml:space="preserve">. Paris: </w:t>
      </w:r>
      <w:proofErr w:type="spellStart"/>
      <w:r w:rsidRPr="00694168">
        <w:t>Vrin</w:t>
      </w:r>
      <w:proofErr w:type="spellEnd"/>
      <w:r w:rsidRPr="00694168">
        <w:t>, 2011.</w:t>
      </w:r>
    </w:p>
    <w:p w14:paraId="273F97A5" w14:textId="77777777" w:rsidR="00694168" w:rsidRPr="00694168" w:rsidRDefault="00694168" w:rsidP="00694168">
      <w:pPr>
        <w:pStyle w:val="Bibliography"/>
      </w:pPr>
      <w:r w:rsidRPr="00694168">
        <w:t xml:space="preserve">Schmaltz, Tad M. “Spinoza and Descartes.” In </w:t>
      </w:r>
      <w:r w:rsidRPr="00694168">
        <w:rPr>
          <w:i/>
          <w:iCs/>
        </w:rPr>
        <w:t>The Oxford Handbook of Spinoza</w:t>
      </w:r>
      <w:r w:rsidRPr="00694168">
        <w:t>, edited by Michael Della Rocca, 64–83. New York: Oxford University Press, 2017.</w:t>
      </w:r>
    </w:p>
    <w:p w14:paraId="4DA96BC8" w14:textId="77777777" w:rsidR="00694168" w:rsidRPr="00694168" w:rsidRDefault="00694168" w:rsidP="00694168">
      <w:pPr>
        <w:pStyle w:val="Bibliography"/>
      </w:pPr>
      <w:r w:rsidRPr="00694168">
        <w:t xml:space="preserve">Spinoza, Benedictus de. </w:t>
      </w:r>
      <w:r w:rsidRPr="00694168">
        <w:rPr>
          <w:i/>
          <w:iCs/>
        </w:rPr>
        <w:t>The Collected Works of Spinoza</w:t>
      </w:r>
      <w:r w:rsidRPr="00694168">
        <w:t>. Translated by Edwin Curley. Vol. 2. Princeton: Princeton University Press, 2016.</w:t>
      </w:r>
    </w:p>
    <w:p w14:paraId="7798C580" w14:textId="77777777" w:rsidR="00694168" w:rsidRPr="00694168" w:rsidRDefault="00694168" w:rsidP="00694168">
      <w:pPr>
        <w:pStyle w:val="Bibliography"/>
      </w:pPr>
      <w:r w:rsidRPr="00694168">
        <w:t xml:space="preserve">Stern, Robert. “‘Determination Is Negation’: The Adventures of a Doctrine from Spinoza to Hegel to the British Idealists.” </w:t>
      </w:r>
      <w:r w:rsidRPr="00694168">
        <w:rPr>
          <w:i/>
          <w:iCs/>
        </w:rPr>
        <w:t>Hegel Bulletin</w:t>
      </w:r>
      <w:r w:rsidRPr="00694168">
        <w:t xml:space="preserve"> 37, no. 1 (May 2016): 29–52.</w:t>
      </w:r>
    </w:p>
    <w:p w14:paraId="3ADDA447" w14:textId="77777777" w:rsidR="00694168" w:rsidRPr="00694168" w:rsidRDefault="00694168" w:rsidP="00694168">
      <w:pPr>
        <w:pStyle w:val="Bibliography"/>
      </w:pPr>
      <w:proofErr w:type="spellStart"/>
      <w:r w:rsidRPr="00694168">
        <w:t>Strok</w:t>
      </w:r>
      <w:proofErr w:type="spellEnd"/>
      <w:r w:rsidRPr="00694168">
        <w:t>, Natalia. “</w:t>
      </w:r>
      <w:proofErr w:type="spellStart"/>
      <w:r w:rsidRPr="00694168">
        <w:t>Eriugena’s</w:t>
      </w:r>
      <w:proofErr w:type="spellEnd"/>
      <w:r w:rsidRPr="00694168">
        <w:t xml:space="preserve"> Pantheism: Brucker, </w:t>
      </w:r>
      <w:proofErr w:type="spellStart"/>
      <w:r w:rsidRPr="00694168">
        <w:t>Tennemann</w:t>
      </w:r>
      <w:proofErr w:type="spellEnd"/>
      <w:r w:rsidRPr="00694168">
        <w:t xml:space="preserve"> and </w:t>
      </w:r>
      <w:proofErr w:type="spellStart"/>
      <w:r w:rsidRPr="00694168">
        <w:t>Rixner’s</w:t>
      </w:r>
      <w:proofErr w:type="spellEnd"/>
      <w:r w:rsidRPr="00694168">
        <w:t xml:space="preserve"> Reading of </w:t>
      </w:r>
      <w:proofErr w:type="spellStart"/>
      <w:r w:rsidRPr="00694168">
        <w:t>Periphyseon</w:t>
      </w:r>
      <w:proofErr w:type="spellEnd"/>
      <w:r w:rsidRPr="00694168">
        <w:t xml:space="preserve">.” </w:t>
      </w:r>
      <w:proofErr w:type="spellStart"/>
      <w:r w:rsidRPr="00694168">
        <w:rPr>
          <w:i/>
          <w:iCs/>
        </w:rPr>
        <w:t>Archiv</w:t>
      </w:r>
      <w:proofErr w:type="spellEnd"/>
      <w:r w:rsidRPr="00694168">
        <w:rPr>
          <w:i/>
          <w:iCs/>
        </w:rPr>
        <w:t xml:space="preserve"> Für </w:t>
      </w:r>
      <w:proofErr w:type="spellStart"/>
      <w:r w:rsidRPr="00694168">
        <w:rPr>
          <w:i/>
          <w:iCs/>
        </w:rPr>
        <w:t>Begriffsgeschichte</w:t>
      </w:r>
      <w:proofErr w:type="spellEnd"/>
      <w:r w:rsidRPr="00694168">
        <w:t xml:space="preserve"> 57 (2015): 105–23.</w:t>
      </w:r>
    </w:p>
    <w:p w14:paraId="63F41D78" w14:textId="77777777" w:rsidR="00694168" w:rsidRPr="00694168" w:rsidRDefault="00694168" w:rsidP="00694168">
      <w:pPr>
        <w:pStyle w:val="Bibliography"/>
      </w:pPr>
      <w:r w:rsidRPr="00694168">
        <w:t>Theron, Stephen. “</w:t>
      </w:r>
      <w:proofErr w:type="spellStart"/>
      <w:r w:rsidRPr="00694168">
        <w:t>Esse</w:t>
      </w:r>
      <w:proofErr w:type="spellEnd"/>
      <w:r w:rsidRPr="00694168">
        <w:t xml:space="preserve">.” </w:t>
      </w:r>
      <w:r w:rsidRPr="00694168">
        <w:rPr>
          <w:i/>
          <w:iCs/>
        </w:rPr>
        <w:t>The New Scholasticism</w:t>
      </w:r>
      <w:r w:rsidRPr="00694168">
        <w:t xml:space="preserve"> 53, no. 2 (May 1, 1979): 206–20.</w:t>
      </w:r>
    </w:p>
    <w:p w14:paraId="271B7117" w14:textId="77777777" w:rsidR="00694168" w:rsidRPr="00694168" w:rsidRDefault="00694168" w:rsidP="00694168">
      <w:pPr>
        <w:pStyle w:val="Bibliography"/>
      </w:pPr>
      <w:r w:rsidRPr="00694168">
        <w:t xml:space="preserve">Ventimiglia, Giovanni. “Is the Thomistic Doctrine of God as ‘Ipsum </w:t>
      </w:r>
      <w:proofErr w:type="spellStart"/>
      <w:r w:rsidRPr="00694168">
        <w:t>Esse</w:t>
      </w:r>
      <w:proofErr w:type="spellEnd"/>
      <w:r w:rsidRPr="00694168">
        <w:t xml:space="preserve"> </w:t>
      </w:r>
      <w:proofErr w:type="spellStart"/>
      <w:r w:rsidRPr="00694168">
        <w:t>Subsistens</w:t>
      </w:r>
      <w:proofErr w:type="spellEnd"/>
      <w:r w:rsidRPr="00694168">
        <w:t xml:space="preserve">’ Consistent?” </w:t>
      </w:r>
      <w:r w:rsidRPr="00694168">
        <w:rPr>
          <w:i/>
          <w:iCs/>
        </w:rPr>
        <w:t>European Journal for Philosophy of Religion</w:t>
      </w:r>
      <w:r w:rsidRPr="00694168">
        <w:t xml:space="preserve"> 10, no. 4 (December 13, 2018): 161–91.</w:t>
      </w:r>
    </w:p>
    <w:p w14:paraId="62CE59CB" w14:textId="77777777" w:rsidR="00694168" w:rsidRPr="00694168" w:rsidRDefault="00694168" w:rsidP="00694168">
      <w:pPr>
        <w:pStyle w:val="Bibliography"/>
      </w:pPr>
      <w:r w:rsidRPr="00694168">
        <w:t xml:space="preserve">Verbeek, Theo, ed. </w:t>
      </w:r>
      <w:r w:rsidRPr="00694168">
        <w:rPr>
          <w:i/>
          <w:iCs/>
        </w:rPr>
        <w:t xml:space="preserve">Johannes </w:t>
      </w:r>
      <w:proofErr w:type="spellStart"/>
      <w:r w:rsidRPr="00694168">
        <w:rPr>
          <w:i/>
          <w:iCs/>
        </w:rPr>
        <w:t>Clauberg</w:t>
      </w:r>
      <w:proofErr w:type="spellEnd"/>
      <w:r w:rsidRPr="00694168">
        <w:rPr>
          <w:i/>
          <w:iCs/>
        </w:rPr>
        <w:t xml:space="preserve"> (1622–1665): And Cartesian Philosophy in the Seventeenth Century</w:t>
      </w:r>
      <w:r w:rsidRPr="00694168">
        <w:t xml:space="preserve">. International Archives of the History of Ideas   Archives </w:t>
      </w:r>
      <w:proofErr w:type="spellStart"/>
      <w:r w:rsidRPr="00694168">
        <w:t>Internationales</w:t>
      </w:r>
      <w:proofErr w:type="spellEnd"/>
      <w:r w:rsidRPr="00694168">
        <w:t xml:space="preserve"> </w:t>
      </w:r>
      <w:proofErr w:type="spellStart"/>
      <w:r w:rsidRPr="00694168">
        <w:t>d’histoire</w:t>
      </w:r>
      <w:proofErr w:type="spellEnd"/>
      <w:r w:rsidRPr="00694168">
        <w:t xml:space="preserve"> Des </w:t>
      </w:r>
      <w:proofErr w:type="spellStart"/>
      <w:r w:rsidRPr="00694168">
        <w:t>Idées</w:t>
      </w:r>
      <w:proofErr w:type="spellEnd"/>
      <w:r w:rsidRPr="00694168">
        <w:t xml:space="preserve">. </w:t>
      </w:r>
      <w:proofErr w:type="spellStart"/>
      <w:r w:rsidRPr="00694168">
        <w:t>Dodrecht</w:t>
      </w:r>
      <w:proofErr w:type="spellEnd"/>
      <w:r w:rsidRPr="00694168">
        <w:t>: Springer, 1999.</w:t>
      </w:r>
    </w:p>
    <w:p w14:paraId="2157A3CE" w14:textId="77777777" w:rsidR="00694168" w:rsidRPr="00694168" w:rsidRDefault="00694168" w:rsidP="00694168">
      <w:pPr>
        <w:pStyle w:val="Bibliography"/>
      </w:pPr>
      <w:r w:rsidRPr="00694168">
        <w:t xml:space="preserve">Wolfson, Harry </w:t>
      </w:r>
      <w:proofErr w:type="spellStart"/>
      <w:r w:rsidRPr="00694168">
        <w:t>Austryn</w:t>
      </w:r>
      <w:proofErr w:type="spellEnd"/>
      <w:r w:rsidRPr="00694168">
        <w:t xml:space="preserve">. </w:t>
      </w:r>
      <w:r w:rsidRPr="00694168">
        <w:rPr>
          <w:i/>
          <w:iCs/>
        </w:rPr>
        <w:t>The Philosophy of Spinoza: Unfolding the Latent Processes of His Reasoning</w:t>
      </w:r>
      <w:r w:rsidRPr="00694168">
        <w:t>. Cambridge: Harvard University Press, 1948.</w:t>
      </w:r>
    </w:p>
    <w:p w14:paraId="06601E0F" w14:textId="034B6B94" w:rsidR="00AB1604" w:rsidRPr="00EC4C9F" w:rsidRDefault="00AB1604" w:rsidP="00AB1604"/>
    <w:sectPr w:rsidR="00AB1604" w:rsidRPr="00EC4C9F" w:rsidSect="00126722">
      <w:footerReference w:type="even" r:id="rId7"/>
      <w:footerReference w:type="default" r:id="rId8"/>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1A2478" w14:textId="77777777" w:rsidR="00187830" w:rsidRDefault="00187830" w:rsidP="00D27E4F">
      <w:pPr>
        <w:spacing w:line="240" w:lineRule="auto"/>
      </w:pPr>
      <w:r>
        <w:separator/>
      </w:r>
    </w:p>
  </w:endnote>
  <w:endnote w:type="continuationSeparator" w:id="0">
    <w:p w14:paraId="2C032DBF" w14:textId="77777777" w:rsidR="00187830" w:rsidRDefault="00187830" w:rsidP="00D27E4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Baskerville">
    <w:panose1 w:val="02020502070401020303"/>
    <w:charset w:val="00"/>
    <w:family w:val="roman"/>
    <w:pitch w:val="variable"/>
    <w:sig w:usb0="80000067" w:usb1="02000000"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94722960"/>
      <w:docPartObj>
        <w:docPartGallery w:val="Page Numbers (Bottom of Page)"/>
        <w:docPartUnique/>
      </w:docPartObj>
    </w:sdtPr>
    <w:sdtContent>
      <w:p w14:paraId="3BBC5CA9" w14:textId="3D304772" w:rsidR="00E23639" w:rsidRDefault="00E23639" w:rsidP="00D2659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D1BBA06" w14:textId="77777777" w:rsidR="00E23639" w:rsidRDefault="00E23639" w:rsidP="00E2363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371500280"/>
      <w:docPartObj>
        <w:docPartGallery w:val="Page Numbers (Bottom of Page)"/>
        <w:docPartUnique/>
      </w:docPartObj>
    </w:sdtPr>
    <w:sdtContent>
      <w:p w14:paraId="55E06765" w14:textId="01AF44D1" w:rsidR="00E23639" w:rsidRDefault="00E23639" w:rsidP="00D2659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2197668" w14:textId="77777777" w:rsidR="00E23639" w:rsidRDefault="00E23639" w:rsidP="00E2363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6BE1F5" w14:textId="77777777" w:rsidR="00187830" w:rsidRDefault="00187830" w:rsidP="00D27E4F">
      <w:pPr>
        <w:spacing w:line="240" w:lineRule="auto"/>
      </w:pPr>
      <w:r>
        <w:separator/>
      </w:r>
    </w:p>
  </w:footnote>
  <w:footnote w:type="continuationSeparator" w:id="0">
    <w:p w14:paraId="70068FAD" w14:textId="77777777" w:rsidR="00187830" w:rsidRDefault="00187830" w:rsidP="00D27E4F">
      <w:pPr>
        <w:spacing w:line="240" w:lineRule="auto"/>
      </w:pPr>
      <w:r>
        <w:continuationSeparator/>
      </w:r>
    </w:p>
  </w:footnote>
  <w:footnote w:id="1">
    <w:p w14:paraId="6E641E66" w14:textId="7E359AD3" w:rsidR="006F690A" w:rsidRPr="006F690A" w:rsidRDefault="006F690A">
      <w:pPr>
        <w:pStyle w:val="FootnoteText"/>
      </w:pPr>
      <w:r>
        <w:rPr>
          <w:rStyle w:val="FootnoteReference"/>
        </w:rPr>
        <w:footnoteRef/>
      </w:r>
      <w:r>
        <w:t xml:space="preserve"> </w:t>
      </w:r>
      <w:r w:rsidR="003A0276" w:rsidRPr="003A0276">
        <w:rPr>
          <w:rFonts w:cs="Times New Roman"/>
        </w:rPr>
        <w:t xml:space="preserve">Gilles Deleuze, </w:t>
      </w:r>
      <w:r w:rsidR="003A0276" w:rsidRPr="003A0276">
        <w:rPr>
          <w:rFonts w:cs="Times New Roman"/>
          <w:i/>
          <w:iCs/>
        </w:rPr>
        <w:t>Expressionism in Philosophy: Spinoza</w:t>
      </w:r>
      <w:r w:rsidR="003A0276" w:rsidRPr="003A0276">
        <w:rPr>
          <w:rFonts w:cs="Times New Roman"/>
        </w:rPr>
        <w:t xml:space="preserve">, trans. Martin </w:t>
      </w:r>
      <w:proofErr w:type="spellStart"/>
      <w:r w:rsidR="003A0276" w:rsidRPr="003A0276">
        <w:rPr>
          <w:rFonts w:cs="Times New Roman"/>
        </w:rPr>
        <w:t>Joughin</w:t>
      </w:r>
      <w:proofErr w:type="spellEnd"/>
      <w:r w:rsidR="003A0276" w:rsidRPr="003A0276">
        <w:rPr>
          <w:rFonts w:cs="Times New Roman"/>
        </w:rPr>
        <w:t xml:space="preserve"> (New York: Zone Books, 1992), 19.</w:t>
      </w:r>
    </w:p>
  </w:footnote>
  <w:footnote w:id="2">
    <w:p w14:paraId="207A698F" w14:textId="45F592DE" w:rsidR="00D27E4F" w:rsidRPr="00B441F4" w:rsidRDefault="00D27E4F" w:rsidP="00D27E4F">
      <w:pPr>
        <w:pStyle w:val="FootnoteText"/>
        <w:rPr>
          <w:lang w:val="en-US"/>
        </w:rPr>
      </w:pPr>
      <w:r w:rsidRPr="005F3607">
        <w:rPr>
          <w:rStyle w:val="FootnoteReference"/>
        </w:rPr>
        <w:footnoteRef/>
      </w:r>
      <w:r w:rsidRPr="00B441F4">
        <w:t xml:space="preserve"> </w:t>
      </w:r>
      <w:r w:rsidR="003A0276" w:rsidRPr="003A0276">
        <w:rPr>
          <w:rFonts w:cs="Times New Roman"/>
        </w:rPr>
        <w:t xml:space="preserve">Martin Lin, “Spinoza’s Metaphysics of Desire,” </w:t>
      </w:r>
      <w:proofErr w:type="spellStart"/>
      <w:r w:rsidR="003A0276" w:rsidRPr="003A0276">
        <w:rPr>
          <w:rFonts w:cs="Times New Roman"/>
          <w:i/>
          <w:iCs/>
        </w:rPr>
        <w:t>Archiv</w:t>
      </w:r>
      <w:proofErr w:type="spellEnd"/>
      <w:r w:rsidR="003A0276" w:rsidRPr="003A0276">
        <w:rPr>
          <w:rFonts w:cs="Times New Roman"/>
          <w:i/>
          <w:iCs/>
        </w:rPr>
        <w:t xml:space="preserve"> Für </w:t>
      </w:r>
      <w:proofErr w:type="spellStart"/>
      <w:r w:rsidR="003A0276" w:rsidRPr="003A0276">
        <w:rPr>
          <w:rFonts w:cs="Times New Roman"/>
          <w:i/>
          <w:iCs/>
        </w:rPr>
        <w:t>Geschichte</w:t>
      </w:r>
      <w:proofErr w:type="spellEnd"/>
      <w:r w:rsidR="003A0276" w:rsidRPr="003A0276">
        <w:rPr>
          <w:rFonts w:cs="Times New Roman"/>
          <w:i/>
          <w:iCs/>
        </w:rPr>
        <w:t xml:space="preserve"> Der Philosophie</w:t>
      </w:r>
      <w:r w:rsidR="003A0276" w:rsidRPr="003A0276">
        <w:rPr>
          <w:rFonts w:cs="Times New Roman"/>
        </w:rPr>
        <w:t xml:space="preserve"> 86, no. 1 (2004): 31–32.</w:t>
      </w:r>
    </w:p>
  </w:footnote>
  <w:footnote w:id="3">
    <w:p w14:paraId="4ED93F10" w14:textId="1A25D067" w:rsidR="00F757E6" w:rsidRPr="00B441F4" w:rsidRDefault="00F757E6" w:rsidP="00F757E6">
      <w:pPr>
        <w:pStyle w:val="FootnoteText"/>
        <w:rPr>
          <w:lang w:val="en-US"/>
        </w:rPr>
      </w:pPr>
      <w:r w:rsidRPr="005F3607">
        <w:rPr>
          <w:rStyle w:val="FootnoteReference"/>
        </w:rPr>
        <w:footnoteRef/>
      </w:r>
      <w:r w:rsidRPr="00B441F4">
        <w:t xml:space="preserve"> </w:t>
      </w:r>
      <w:r w:rsidR="003A0276" w:rsidRPr="003A0276">
        <w:rPr>
          <w:rFonts w:cs="Times New Roman"/>
        </w:rPr>
        <w:t xml:space="preserve">Antonio Salgado </w:t>
      </w:r>
      <w:proofErr w:type="spellStart"/>
      <w:r w:rsidR="003A0276" w:rsidRPr="003A0276">
        <w:rPr>
          <w:rFonts w:cs="Times New Roman"/>
        </w:rPr>
        <w:t>Borge</w:t>
      </w:r>
      <w:proofErr w:type="spellEnd"/>
      <w:r w:rsidR="003A0276" w:rsidRPr="003A0276">
        <w:rPr>
          <w:rFonts w:cs="Times New Roman"/>
        </w:rPr>
        <w:t>, “</w:t>
      </w:r>
      <w:proofErr w:type="spellStart"/>
      <w:r w:rsidR="003A0276" w:rsidRPr="003A0276">
        <w:rPr>
          <w:rFonts w:cs="Times New Roman"/>
        </w:rPr>
        <w:t>Spinozistic</w:t>
      </w:r>
      <w:proofErr w:type="spellEnd"/>
      <w:r w:rsidR="003A0276" w:rsidRPr="003A0276">
        <w:rPr>
          <w:rFonts w:cs="Times New Roman"/>
        </w:rPr>
        <w:t xml:space="preserve"> Expression as Signification,” </w:t>
      </w:r>
      <w:r w:rsidR="003A0276" w:rsidRPr="003A0276">
        <w:rPr>
          <w:rFonts w:cs="Times New Roman"/>
          <w:i/>
          <w:iCs/>
        </w:rPr>
        <w:t>British Journal for the History of Philosophy</w:t>
      </w:r>
      <w:r w:rsidR="003A0276" w:rsidRPr="003A0276">
        <w:rPr>
          <w:rFonts w:cs="Times New Roman"/>
        </w:rPr>
        <w:t xml:space="preserve"> 30, no. 1 (2022): 34.</w:t>
      </w:r>
    </w:p>
  </w:footnote>
  <w:footnote w:id="4">
    <w:p w14:paraId="382D74BF" w14:textId="24B52AC2" w:rsidR="00F757E6" w:rsidRPr="00F757E6" w:rsidRDefault="00F757E6">
      <w:pPr>
        <w:pStyle w:val="FootnoteText"/>
        <w:rPr>
          <w:lang w:val="en-US"/>
        </w:rPr>
      </w:pPr>
      <w:r>
        <w:rPr>
          <w:rStyle w:val="FootnoteReference"/>
        </w:rPr>
        <w:footnoteRef/>
      </w:r>
      <w:r>
        <w:t xml:space="preserve"> </w:t>
      </w:r>
      <w:r w:rsidR="003A0276" w:rsidRPr="003A0276">
        <w:rPr>
          <w:rFonts w:cs="Times New Roman"/>
        </w:rPr>
        <w:t xml:space="preserve">Zachary Micah </w:t>
      </w:r>
      <w:proofErr w:type="spellStart"/>
      <w:r w:rsidR="003A0276" w:rsidRPr="003A0276">
        <w:rPr>
          <w:rFonts w:cs="Times New Roman"/>
        </w:rPr>
        <w:t>Gartenberg</w:t>
      </w:r>
      <w:proofErr w:type="spellEnd"/>
      <w:r w:rsidR="003A0276" w:rsidRPr="003A0276">
        <w:rPr>
          <w:rFonts w:cs="Times New Roman"/>
        </w:rPr>
        <w:t>, “</w:t>
      </w:r>
      <w:proofErr w:type="spellStart"/>
      <w:r w:rsidR="003A0276" w:rsidRPr="003A0276">
        <w:rPr>
          <w:rFonts w:cs="Times New Roman"/>
        </w:rPr>
        <w:t>Spinozistic</w:t>
      </w:r>
      <w:proofErr w:type="spellEnd"/>
      <w:r w:rsidR="003A0276" w:rsidRPr="003A0276">
        <w:rPr>
          <w:rFonts w:cs="Times New Roman"/>
        </w:rPr>
        <w:t xml:space="preserve"> Expression,” </w:t>
      </w:r>
      <w:r w:rsidR="003A0276" w:rsidRPr="003A0276">
        <w:rPr>
          <w:rFonts w:cs="Times New Roman"/>
          <w:i/>
          <w:iCs/>
        </w:rPr>
        <w:t>Philosopher’s Imprint</w:t>
      </w:r>
      <w:r w:rsidR="003A0276" w:rsidRPr="003A0276">
        <w:rPr>
          <w:rFonts w:cs="Times New Roman"/>
        </w:rPr>
        <w:t xml:space="preserve"> 17, no. 9 (June 16, 2017): 2n.2; Deleuze, </w:t>
      </w:r>
      <w:r w:rsidR="003A0276" w:rsidRPr="003A0276">
        <w:rPr>
          <w:rFonts w:cs="Times New Roman"/>
          <w:i/>
          <w:iCs/>
        </w:rPr>
        <w:t>Expressionism in Philosophy</w:t>
      </w:r>
      <w:r w:rsidR="003A0276" w:rsidRPr="003A0276">
        <w:rPr>
          <w:rFonts w:cs="Times New Roman"/>
        </w:rPr>
        <w:t>, 15.</w:t>
      </w:r>
    </w:p>
  </w:footnote>
  <w:footnote w:id="5">
    <w:p w14:paraId="319DF2C3" w14:textId="6CFFF678" w:rsidR="00F757E6" w:rsidRPr="00F757E6" w:rsidRDefault="00F757E6">
      <w:pPr>
        <w:pStyle w:val="FootnoteText"/>
        <w:rPr>
          <w:lang w:val="en-US"/>
        </w:rPr>
      </w:pPr>
      <w:r>
        <w:rPr>
          <w:rStyle w:val="FootnoteReference"/>
        </w:rPr>
        <w:footnoteRef/>
      </w:r>
      <w:r>
        <w:t xml:space="preserve"> </w:t>
      </w:r>
      <w:r w:rsidR="003A0276" w:rsidRPr="003A0276">
        <w:rPr>
          <w:rFonts w:cs="Times New Roman"/>
        </w:rPr>
        <w:t>Lin, “Spinoza’s Metaphysics of Desire,” 29.</w:t>
      </w:r>
    </w:p>
  </w:footnote>
  <w:footnote w:id="6">
    <w:p w14:paraId="4B491A64" w14:textId="27A0CCB5" w:rsidR="00F757E6" w:rsidRPr="00B441F4" w:rsidRDefault="00F757E6" w:rsidP="00F757E6">
      <w:pPr>
        <w:pStyle w:val="FootnoteText"/>
        <w:rPr>
          <w:lang w:val="en-US"/>
        </w:rPr>
      </w:pPr>
      <w:r w:rsidRPr="005F3607">
        <w:rPr>
          <w:rStyle w:val="FootnoteReference"/>
        </w:rPr>
        <w:footnoteRef/>
      </w:r>
      <w:r w:rsidRPr="00B441F4">
        <w:t xml:space="preserve"> </w:t>
      </w:r>
      <w:r w:rsidR="003A0276" w:rsidRPr="003A0276">
        <w:rPr>
          <w:rFonts w:cs="Times New Roman"/>
        </w:rPr>
        <w:t xml:space="preserve">John Scotus </w:t>
      </w:r>
      <w:proofErr w:type="spellStart"/>
      <w:r w:rsidR="003A0276" w:rsidRPr="003A0276">
        <w:rPr>
          <w:rFonts w:cs="Times New Roman"/>
        </w:rPr>
        <w:t>Eriugena</w:t>
      </w:r>
      <w:proofErr w:type="spellEnd"/>
      <w:r w:rsidR="003A0276" w:rsidRPr="003A0276">
        <w:rPr>
          <w:rFonts w:cs="Times New Roman"/>
        </w:rPr>
        <w:t xml:space="preserve">, </w:t>
      </w:r>
      <w:proofErr w:type="spellStart"/>
      <w:r w:rsidR="003A0276" w:rsidRPr="003A0276">
        <w:rPr>
          <w:rFonts w:cs="Times New Roman"/>
          <w:i/>
          <w:iCs/>
        </w:rPr>
        <w:t>Periphyseon</w:t>
      </w:r>
      <w:proofErr w:type="spellEnd"/>
      <w:r w:rsidR="003A0276" w:rsidRPr="003A0276">
        <w:rPr>
          <w:rFonts w:cs="Times New Roman"/>
          <w:i/>
          <w:iCs/>
        </w:rPr>
        <w:t>: Division of Nature</w:t>
      </w:r>
      <w:r w:rsidR="003A0276" w:rsidRPr="003A0276">
        <w:rPr>
          <w:rFonts w:cs="Times New Roman"/>
        </w:rPr>
        <w:t>, trans. I. P. Sheldon-Williams and John O’Meara (Montreal: Dumbarton Oaks, 1987), 689B, 317–18.</w:t>
      </w:r>
    </w:p>
  </w:footnote>
  <w:footnote w:id="7">
    <w:p w14:paraId="5F5F64B0" w14:textId="73062D53" w:rsidR="00E93AE2" w:rsidRPr="00E93AE2" w:rsidRDefault="00E93AE2">
      <w:pPr>
        <w:pStyle w:val="FootnoteText"/>
      </w:pPr>
      <w:r>
        <w:rPr>
          <w:rStyle w:val="FootnoteReference"/>
        </w:rPr>
        <w:footnoteRef/>
      </w:r>
      <w:r>
        <w:t xml:space="preserve"> </w:t>
      </w:r>
      <w:r w:rsidR="003A0276" w:rsidRPr="003A0276">
        <w:rPr>
          <w:rFonts w:cs="Times New Roman"/>
        </w:rPr>
        <w:t xml:space="preserve">K.M. </w:t>
      </w:r>
      <w:proofErr w:type="spellStart"/>
      <w:r w:rsidR="003A0276" w:rsidRPr="003A0276">
        <w:rPr>
          <w:rFonts w:cs="Times New Roman"/>
        </w:rPr>
        <w:t>Fredborg</w:t>
      </w:r>
      <w:proofErr w:type="spellEnd"/>
      <w:r w:rsidR="003A0276" w:rsidRPr="003A0276">
        <w:rPr>
          <w:rFonts w:cs="Times New Roman"/>
        </w:rPr>
        <w:t xml:space="preserve">, </w:t>
      </w:r>
      <w:proofErr w:type="spellStart"/>
      <w:r w:rsidR="003A0276" w:rsidRPr="003A0276">
        <w:rPr>
          <w:rFonts w:cs="Times New Roman"/>
        </w:rPr>
        <w:t>Lauge</w:t>
      </w:r>
      <w:proofErr w:type="spellEnd"/>
      <w:r w:rsidR="003A0276" w:rsidRPr="003A0276">
        <w:rPr>
          <w:rFonts w:cs="Times New Roman"/>
        </w:rPr>
        <w:t xml:space="preserve"> Nielson, and Jan </w:t>
      </w:r>
      <w:proofErr w:type="spellStart"/>
      <w:r w:rsidR="003A0276" w:rsidRPr="003A0276">
        <w:rPr>
          <w:rFonts w:cs="Times New Roman"/>
        </w:rPr>
        <w:t>Pinborg</w:t>
      </w:r>
      <w:proofErr w:type="spellEnd"/>
      <w:r w:rsidR="003A0276" w:rsidRPr="003A0276">
        <w:rPr>
          <w:rFonts w:cs="Times New Roman"/>
        </w:rPr>
        <w:t xml:space="preserve">, “An Unedited Part of Roger Bacon’s ‘Opus </w:t>
      </w:r>
      <w:proofErr w:type="spellStart"/>
      <w:r w:rsidR="003A0276" w:rsidRPr="003A0276">
        <w:rPr>
          <w:rFonts w:cs="Times New Roman"/>
        </w:rPr>
        <w:t>Maius</w:t>
      </w:r>
      <w:proofErr w:type="spellEnd"/>
      <w:r w:rsidR="003A0276" w:rsidRPr="003A0276">
        <w:rPr>
          <w:rFonts w:cs="Times New Roman"/>
        </w:rPr>
        <w:t xml:space="preserve">’: ‘De </w:t>
      </w:r>
      <w:proofErr w:type="spellStart"/>
      <w:r w:rsidR="003A0276" w:rsidRPr="003A0276">
        <w:rPr>
          <w:rFonts w:cs="Times New Roman"/>
        </w:rPr>
        <w:t>Signis</w:t>
      </w:r>
      <w:proofErr w:type="spellEnd"/>
      <w:r w:rsidR="003A0276" w:rsidRPr="003A0276">
        <w:rPr>
          <w:rFonts w:cs="Times New Roman"/>
        </w:rPr>
        <w:t xml:space="preserve">,’” </w:t>
      </w:r>
      <w:proofErr w:type="spellStart"/>
      <w:r w:rsidR="003A0276" w:rsidRPr="003A0276">
        <w:rPr>
          <w:rFonts w:cs="Times New Roman"/>
          <w:i/>
          <w:iCs/>
        </w:rPr>
        <w:t>Traditio</w:t>
      </w:r>
      <w:proofErr w:type="spellEnd"/>
      <w:r w:rsidR="003A0276" w:rsidRPr="003A0276">
        <w:rPr>
          <w:rFonts w:cs="Times New Roman"/>
        </w:rPr>
        <w:t xml:space="preserve"> 34 (1978): 75–136; Roger Bacon, </w:t>
      </w:r>
      <w:r w:rsidR="003A0276" w:rsidRPr="003A0276">
        <w:rPr>
          <w:rFonts w:cs="Times New Roman"/>
          <w:i/>
          <w:iCs/>
        </w:rPr>
        <w:t>On Signs</w:t>
      </w:r>
      <w:r w:rsidR="003A0276" w:rsidRPr="003A0276">
        <w:rPr>
          <w:rFonts w:cs="Times New Roman"/>
        </w:rPr>
        <w:t>, trans. Thomas Maloney (Toronto: Pontifical Institute of Mediaeval Studies, 2013).</w:t>
      </w:r>
      <w:r>
        <w:t xml:space="preserve"> On the idea of expression as signification in Spinoza, see </w:t>
      </w:r>
      <w:r w:rsidR="003A0276" w:rsidRPr="003A0276">
        <w:rPr>
          <w:rFonts w:cs="Times New Roman"/>
        </w:rPr>
        <w:t xml:space="preserve">Salgado </w:t>
      </w:r>
      <w:proofErr w:type="spellStart"/>
      <w:r w:rsidR="003A0276" w:rsidRPr="003A0276">
        <w:rPr>
          <w:rFonts w:cs="Times New Roman"/>
        </w:rPr>
        <w:t>Borge</w:t>
      </w:r>
      <w:proofErr w:type="spellEnd"/>
      <w:r w:rsidR="003A0276" w:rsidRPr="003A0276">
        <w:rPr>
          <w:rFonts w:cs="Times New Roman"/>
        </w:rPr>
        <w:t>, “Expression as Signification.”</w:t>
      </w:r>
    </w:p>
  </w:footnote>
  <w:footnote w:id="8">
    <w:p w14:paraId="12F45B64" w14:textId="2FF634D5" w:rsidR="007A7EF6" w:rsidRPr="007A7EF6" w:rsidRDefault="007A7EF6">
      <w:pPr>
        <w:pStyle w:val="FootnoteText"/>
        <w:rPr>
          <w:lang w:val="en-US"/>
        </w:rPr>
      </w:pPr>
      <w:r>
        <w:rPr>
          <w:rStyle w:val="FootnoteReference"/>
        </w:rPr>
        <w:footnoteRef/>
      </w:r>
      <w:r>
        <w:t xml:space="preserve"> </w:t>
      </w:r>
      <w:r>
        <w:rPr>
          <w:lang w:val="en-US"/>
        </w:rPr>
        <w:t xml:space="preserve">See, for instance: </w:t>
      </w:r>
      <w:r w:rsidR="003A0276" w:rsidRPr="003A0276">
        <w:rPr>
          <w:rFonts w:cs="Times New Roman"/>
        </w:rPr>
        <w:t xml:space="preserve">Karolina </w:t>
      </w:r>
      <w:proofErr w:type="spellStart"/>
      <w:r w:rsidR="003A0276" w:rsidRPr="003A0276">
        <w:rPr>
          <w:rFonts w:cs="Times New Roman"/>
        </w:rPr>
        <w:t>Hübner</w:t>
      </w:r>
      <w:proofErr w:type="spellEnd"/>
      <w:r w:rsidR="003A0276" w:rsidRPr="003A0276">
        <w:rPr>
          <w:rFonts w:cs="Times New Roman"/>
        </w:rPr>
        <w:t xml:space="preserve">, “Representation and Mind-Body Identity in Spinoza’s Philosophy,” </w:t>
      </w:r>
      <w:r w:rsidR="003A0276" w:rsidRPr="003A0276">
        <w:rPr>
          <w:rFonts w:cs="Times New Roman"/>
          <w:i/>
          <w:iCs/>
        </w:rPr>
        <w:t>Journal of the History of Philosophy</w:t>
      </w:r>
      <w:r w:rsidR="003A0276" w:rsidRPr="003A0276">
        <w:rPr>
          <w:rFonts w:cs="Times New Roman"/>
        </w:rPr>
        <w:t xml:space="preserve"> 60, no. 1 (2022): 51–54.</w:t>
      </w:r>
      <w:r w:rsidR="00764A29">
        <w:rPr>
          <w:lang w:val="en-US"/>
        </w:rPr>
        <w:t xml:space="preserve"> </w:t>
      </w:r>
    </w:p>
  </w:footnote>
  <w:footnote w:id="9">
    <w:p w14:paraId="4033C00D" w14:textId="74043F47" w:rsidR="00495D73" w:rsidRPr="00495D73" w:rsidRDefault="00495D73">
      <w:pPr>
        <w:pStyle w:val="FootnoteText"/>
      </w:pPr>
      <w:r>
        <w:rPr>
          <w:rStyle w:val="FootnoteReference"/>
        </w:rPr>
        <w:footnoteRef/>
      </w:r>
      <w:r>
        <w:t xml:space="preserve"> On the meaning of the mysterious </w:t>
      </w:r>
      <w:r w:rsidR="00A749F9">
        <w:t>“</w:t>
      </w:r>
      <w:r>
        <w:rPr>
          <w:i/>
          <w:iCs/>
        </w:rPr>
        <w:t>quatenus</w:t>
      </w:r>
      <w:r w:rsidR="00A749F9">
        <w:t>”</w:t>
      </w:r>
      <w:r>
        <w:t xml:space="preserve"> see: </w:t>
      </w:r>
      <w:proofErr w:type="spellStart"/>
      <w:r w:rsidR="003A0276" w:rsidRPr="003A0276">
        <w:rPr>
          <w:rFonts w:cs="Times New Roman"/>
        </w:rPr>
        <w:t>Mogens</w:t>
      </w:r>
      <w:proofErr w:type="spellEnd"/>
      <w:r w:rsidR="003A0276" w:rsidRPr="003A0276">
        <w:rPr>
          <w:rFonts w:cs="Times New Roman"/>
        </w:rPr>
        <w:t xml:space="preserve"> </w:t>
      </w:r>
      <w:proofErr w:type="spellStart"/>
      <w:r w:rsidR="003A0276" w:rsidRPr="003A0276">
        <w:rPr>
          <w:rFonts w:cs="Times New Roman"/>
        </w:rPr>
        <w:t>Laerke</w:t>
      </w:r>
      <w:proofErr w:type="spellEnd"/>
      <w:r w:rsidR="003A0276" w:rsidRPr="003A0276">
        <w:rPr>
          <w:rFonts w:cs="Times New Roman"/>
        </w:rPr>
        <w:t xml:space="preserve">, “‘Deus quatenus’... Sur </w:t>
      </w:r>
      <w:proofErr w:type="spellStart"/>
      <w:r w:rsidR="003A0276" w:rsidRPr="003A0276">
        <w:rPr>
          <w:rFonts w:cs="Times New Roman"/>
        </w:rPr>
        <w:t>l’emploi</w:t>
      </w:r>
      <w:proofErr w:type="spellEnd"/>
      <w:r w:rsidR="003A0276" w:rsidRPr="003A0276">
        <w:rPr>
          <w:rFonts w:cs="Times New Roman"/>
        </w:rPr>
        <w:t xml:space="preserve"> des </w:t>
      </w:r>
      <w:proofErr w:type="spellStart"/>
      <w:r w:rsidR="003A0276" w:rsidRPr="003A0276">
        <w:rPr>
          <w:rFonts w:cs="Times New Roman"/>
        </w:rPr>
        <w:t>particules</w:t>
      </w:r>
      <w:proofErr w:type="spellEnd"/>
      <w:r w:rsidR="003A0276" w:rsidRPr="003A0276">
        <w:rPr>
          <w:rFonts w:cs="Times New Roman"/>
        </w:rPr>
        <w:t xml:space="preserve"> </w:t>
      </w:r>
      <w:proofErr w:type="spellStart"/>
      <w:r w:rsidR="003A0276" w:rsidRPr="003A0276">
        <w:rPr>
          <w:rFonts w:cs="Times New Roman"/>
        </w:rPr>
        <w:t>réduplicatives</w:t>
      </w:r>
      <w:proofErr w:type="spellEnd"/>
      <w:r w:rsidR="003A0276" w:rsidRPr="003A0276">
        <w:rPr>
          <w:rFonts w:cs="Times New Roman"/>
        </w:rPr>
        <w:t xml:space="preserve"> dans </w:t>
      </w:r>
      <w:proofErr w:type="spellStart"/>
      <w:r w:rsidR="003A0276" w:rsidRPr="003A0276">
        <w:rPr>
          <w:rFonts w:cs="Times New Roman"/>
        </w:rPr>
        <w:t>l’Éthique</w:t>
      </w:r>
      <w:proofErr w:type="spellEnd"/>
      <w:r w:rsidR="003A0276" w:rsidRPr="003A0276">
        <w:rPr>
          <w:rFonts w:cs="Times New Roman"/>
        </w:rPr>
        <w:t xml:space="preserve">,” in </w:t>
      </w:r>
      <w:r w:rsidR="003A0276" w:rsidRPr="003A0276">
        <w:rPr>
          <w:rFonts w:cs="Times New Roman"/>
          <w:i/>
          <w:iCs/>
        </w:rPr>
        <w:t xml:space="preserve">Lectures </w:t>
      </w:r>
      <w:proofErr w:type="spellStart"/>
      <w:r w:rsidR="003A0276" w:rsidRPr="003A0276">
        <w:rPr>
          <w:rFonts w:cs="Times New Roman"/>
          <w:i/>
          <w:iCs/>
        </w:rPr>
        <w:t>Contemporaines</w:t>
      </w:r>
      <w:proofErr w:type="spellEnd"/>
      <w:r w:rsidR="003A0276" w:rsidRPr="003A0276">
        <w:rPr>
          <w:rFonts w:cs="Times New Roman"/>
          <w:i/>
          <w:iCs/>
        </w:rPr>
        <w:t xml:space="preserve"> de Spinoza</w:t>
      </w:r>
      <w:r w:rsidR="003A0276" w:rsidRPr="003A0276">
        <w:rPr>
          <w:rFonts w:cs="Times New Roman"/>
        </w:rPr>
        <w:t xml:space="preserve">, ed. M. </w:t>
      </w:r>
      <w:proofErr w:type="spellStart"/>
      <w:r w:rsidR="003A0276" w:rsidRPr="003A0276">
        <w:rPr>
          <w:rFonts w:cs="Times New Roman"/>
        </w:rPr>
        <w:t>Delbraccio</w:t>
      </w:r>
      <w:proofErr w:type="spellEnd"/>
      <w:r w:rsidR="003A0276" w:rsidRPr="003A0276">
        <w:rPr>
          <w:rFonts w:cs="Times New Roman"/>
        </w:rPr>
        <w:t xml:space="preserve">, P.-F. Moreau, and C. Cohen </w:t>
      </w:r>
      <w:proofErr w:type="spellStart"/>
      <w:r w:rsidR="003A0276" w:rsidRPr="003A0276">
        <w:rPr>
          <w:rFonts w:cs="Times New Roman"/>
        </w:rPr>
        <w:t>Boulakia</w:t>
      </w:r>
      <w:proofErr w:type="spellEnd"/>
      <w:r w:rsidR="003A0276" w:rsidRPr="003A0276">
        <w:rPr>
          <w:rFonts w:cs="Times New Roman"/>
        </w:rPr>
        <w:t xml:space="preserve"> (Paris: Presses </w:t>
      </w:r>
      <w:proofErr w:type="spellStart"/>
      <w:r w:rsidR="003A0276" w:rsidRPr="003A0276">
        <w:rPr>
          <w:rFonts w:cs="Times New Roman"/>
        </w:rPr>
        <w:t>Universitaires</w:t>
      </w:r>
      <w:proofErr w:type="spellEnd"/>
      <w:r w:rsidR="003A0276" w:rsidRPr="003A0276">
        <w:rPr>
          <w:rFonts w:cs="Times New Roman"/>
        </w:rPr>
        <w:t xml:space="preserve"> de Paris-Sorbonne, 2012); Alexander Douglas, “Quatenus and Spinoza’s Monism,” </w:t>
      </w:r>
      <w:r w:rsidR="003A0276" w:rsidRPr="003A0276">
        <w:rPr>
          <w:rFonts w:cs="Times New Roman"/>
          <w:i/>
          <w:iCs/>
        </w:rPr>
        <w:t>Journal of the History of Philosophy</w:t>
      </w:r>
      <w:r w:rsidR="003A0276" w:rsidRPr="003A0276">
        <w:rPr>
          <w:rFonts w:cs="Times New Roman"/>
        </w:rPr>
        <w:t xml:space="preserve"> 56, no. 2 (April 2018): 261–80; Martin Lin, </w:t>
      </w:r>
      <w:r w:rsidR="003A0276" w:rsidRPr="003A0276">
        <w:rPr>
          <w:rFonts w:cs="Times New Roman"/>
          <w:i/>
          <w:iCs/>
        </w:rPr>
        <w:t>Being and Reason: An Essay on Spinoza’s Metaphysics</w:t>
      </w:r>
      <w:r w:rsidR="003A0276" w:rsidRPr="003A0276">
        <w:rPr>
          <w:rFonts w:cs="Times New Roman"/>
        </w:rPr>
        <w:t xml:space="preserve"> (Oxford: Oxford University Press, 2019), ch.5; Alexander Douglas, “Quatenus,” in </w:t>
      </w:r>
      <w:r w:rsidR="003A0276" w:rsidRPr="003A0276">
        <w:rPr>
          <w:rFonts w:cs="Times New Roman"/>
          <w:i/>
          <w:iCs/>
        </w:rPr>
        <w:t>Spinoza Cambridge Lexicon</w:t>
      </w:r>
      <w:r w:rsidR="003A0276" w:rsidRPr="003A0276">
        <w:rPr>
          <w:rFonts w:cs="Times New Roman"/>
        </w:rPr>
        <w:t xml:space="preserve">, ed. Karolina </w:t>
      </w:r>
      <w:proofErr w:type="spellStart"/>
      <w:r w:rsidR="003A0276" w:rsidRPr="003A0276">
        <w:rPr>
          <w:rFonts w:cs="Times New Roman"/>
        </w:rPr>
        <w:t>Hübner</w:t>
      </w:r>
      <w:proofErr w:type="spellEnd"/>
      <w:r w:rsidR="003A0276" w:rsidRPr="003A0276">
        <w:rPr>
          <w:rFonts w:cs="Times New Roman"/>
        </w:rPr>
        <w:t xml:space="preserve"> and Justin Steinberg (Cambridge University Press, forthcoming).</w:t>
      </w:r>
    </w:p>
  </w:footnote>
  <w:footnote w:id="10">
    <w:p w14:paraId="3BEFE5D5" w14:textId="1C847B4A" w:rsidR="001A023B" w:rsidRPr="001A023B" w:rsidRDefault="001A023B">
      <w:pPr>
        <w:pStyle w:val="FootnoteText"/>
      </w:pPr>
      <w:r>
        <w:rPr>
          <w:rStyle w:val="FootnoteReference"/>
        </w:rPr>
        <w:footnoteRef/>
      </w:r>
      <w:r>
        <w:t xml:space="preserve"> </w:t>
      </w:r>
      <w:r w:rsidR="003A0276" w:rsidRPr="003A0276">
        <w:rPr>
          <w:rFonts w:cs="Times New Roman"/>
        </w:rPr>
        <w:t>Douglas, “Quatenus and Spinoza’s Monism.”</w:t>
      </w:r>
    </w:p>
  </w:footnote>
  <w:footnote w:id="11">
    <w:p w14:paraId="58C5BA59" w14:textId="156EF843" w:rsidR="00495D73" w:rsidRPr="00495D73" w:rsidRDefault="00495D73">
      <w:pPr>
        <w:pStyle w:val="FootnoteText"/>
        <w:rPr>
          <w:lang w:val="en-US"/>
        </w:rPr>
      </w:pPr>
      <w:r>
        <w:rPr>
          <w:rStyle w:val="FootnoteReference"/>
        </w:rPr>
        <w:footnoteRef/>
      </w:r>
      <w:r>
        <w:t xml:space="preserve"> </w:t>
      </w:r>
      <w:r w:rsidR="003A0276" w:rsidRPr="003A0276">
        <w:rPr>
          <w:rFonts w:cs="Times New Roman"/>
        </w:rPr>
        <w:t xml:space="preserve">Lin, </w:t>
      </w:r>
      <w:r w:rsidR="003A0276" w:rsidRPr="003A0276">
        <w:rPr>
          <w:rFonts w:cs="Times New Roman"/>
          <w:i/>
          <w:iCs/>
        </w:rPr>
        <w:t>Being and Reason</w:t>
      </w:r>
      <w:r w:rsidR="003A0276" w:rsidRPr="003A0276">
        <w:rPr>
          <w:rFonts w:cs="Times New Roman"/>
        </w:rPr>
        <w:t>, ch.5.</w:t>
      </w:r>
    </w:p>
  </w:footnote>
  <w:footnote w:id="12">
    <w:p w14:paraId="793BE145" w14:textId="2135892A" w:rsidR="00F25BBE" w:rsidRPr="00694168" w:rsidRDefault="00F25BBE" w:rsidP="00F25BBE">
      <w:pPr>
        <w:pStyle w:val="FootnoteText"/>
        <w:rPr>
          <w:lang w:val="en-US"/>
        </w:rPr>
      </w:pPr>
      <w:r>
        <w:rPr>
          <w:rStyle w:val="FootnoteReference"/>
        </w:rPr>
        <w:footnoteRef/>
      </w:r>
      <w:r>
        <w:t xml:space="preserve"> </w:t>
      </w:r>
      <w:r>
        <w:rPr>
          <w:lang w:val="en-US"/>
        </w:rPr>
        <w:t xml:space="preserve">In this article I don’t discuss the </w:t>
      </w:r>
      <w:r>
        <w:rPr>
          <w:lang w:val="en-US"/>
        </w:rPr>
        <w:t xml:space="preserve">distinction sometimes made between pantheism and panentheism. It might be more appropriate to refer to the </w:t>
      </w:r>
      <w:r>
        <w:rPr>
          <w:lang w:val="en-US"/>
        </w:rPr>
        <w:t xml:space="preserve">described here </w:t>
      </w:r>
      <w:r>
        <w:rPr>
          <w:lang w:val="en-US"/>
        </w:rPr>
        <w:t xml:space="preserve">as panentheism. Whatever sense of identity is bound up in the notion of expression would seem to be asymmetric: </w:t>
      </w:r>
      <w:r>
        <w:rPr>
          <w:lang w:val="en-US"/>
        </w:rPr>
        <w:t>things, as theophanies,</w:t>
      </w:r>
      <w:r>
        <w:rPr>
          <w:lang w:val="en-US"/>
        </w:rPr>
        <w:t xml:space="preserve"> express God, but God is not said to express things. Such asymmetry is the distinguishing feature of panentheism as opposed to pantheism, according to Melamed: </w:t>
      </w:r>
      <w:r w:rsidRPr="00694168">
        <w:rPr>
          <w:rFonts w:cs="Times New Roman"/>
        </w:rPr>
        <w:t xml:space="preserve">Yitzhak Melamed, “Cohen, Spinoza, and the Nature of Pantheism,” </w:t>
      </w:r>
      <w:r w:rsidRPr="00694168">
        <w:rPr>
          <w:rFonts w:cs="Times New Roman"/>
          <w:i/>
          <w:iCs/>
        </w:rPr>
        <w:t>Jewish Studies Quarterly</w:t>
      </w:r>
      <w:r w:rsidRPr="00694168">
        <w:rPr>
          <w:rFonts w:cs="Times New Roman"/>
        </w:rPr>
        <w:t>, 2018, 171–80; Yitzhak Melamed, “A Concise Grammar of Pantheism” (unpublished), accessed November 25, 2022, https://www.academia.edu/36909644/A_Concise_Grammar_of_Pantheism.</w:t>
      </w:r>
    </w:p>
  </w:footnote>
  <w:footnote w:id="13">
    <w:p w14:paraId="4215A8E3" w14:textId="526FDDA0" w:rsidR="0045543A" w:rsidRPr="009540B0" w:rsidRDefault="0045543A" w:rsidP="0045543A">
      <w:pPr>
        <w:pStyle w:val="FootnoteText"/>
        <w:rPr>
          <w:lang w:val="en-US"/>
        </w:rPr>
      </w:pPr>
      <w:r w:rsidRPr="005F3607">
        <w:rPr>
          <w:rStyle w:val="FootnoteReference"/>
        </w:rPr>
        <w:footnoteRef/>
      </w:r>
      <w:r>
        <w:t xml:space="preserve"> </w:t>
      </w:r>
      <w:r w:rsidR="003A0276" w:rsidRPr="003A0276">
        <w:rPr>
          <w:rFonts w:cs="Times New Roman"/>
        </w:rPr>
        <w:t xml:space="preserve">Armand Maurer, </w:t>
      </w:r>
      <w:r w:rsidR="003A0276" w:rsidRPr="003A0276">
        <w:rPr>
          <w:rFonts w:cs="Times New Roman"/>
          <w:i/>
          <w:iCs/>
        </w:rPr>
        <w:t>Medieval Philosophy</w:t>
      </w:r>
      <w:r w:rsidR="003A0276" w:rsidRPr="003A0276">
        <w:rPr>
          <w:rFonts w:cs="Times New Roman"/>
        </w:rPr>
        <w:t>, ed. Etienne Gilson (Toronto: Pontifical Institute of Mediaeval Studies, 1982), 70.</w:t>
      </w:r>
      <w:r>
        <w:t xml:space="preserve"> </w:t>
      </w:r>
    </w:p>
  </w:footnote>
  <w:footnote w:id="14">
    <w:p w14:paraId="31923B4C" w14:textId="144BA9A1" w:rsidR="00A8034D" w:rsidRPr="00A8034D" w:rsidRDefault="00A8034D">
      <w:pPr>
        <w:pStyle w:val="FootnoteText"/>
        <w:rPr>
          <w:lang w:val="en-US"/>
        </w:rPr>
      </w:pPr>
      <w:r>
        <w:rPr>
          <w:rStyle w:val="FootnoteReference"/>
        </w:rPr>
        <w:footnoteRef/>
      </w:r>
      <w:r>
        <w:t xml:space="preserve"> See </w:t>
      </w:r>
      <w:proofErr w:type="spellStart"/>
      <w:r w:rsidR="003A0276" w:rsidRPr="003A0276">
        <w:rPr>
          <w:rFonts w:cs="Times New Roman"/>
        </w:rPr>
        <w:t>Eriugena</w:t>
      </w:r>
      <w:proofErr w:type="spellEnd"/>
      <w:r w:rsidR="003A0276" w:rsidRPr="003A0276">
        <w:rPr>
          <w:rFonts w:cs="Times New Roman"/>
        </w:rPr>
        <w:t xml:space="preserve">, </w:t>
      </w:r>
      <w:proofErr w:type="spellStart"/>
      <w:r w:rsidR="003A0276" w:rsidRPr="003A0276">
        <w:rPr>
          <w:rFonts w:cs="Times New Roman"/>
          <w:i/>
          <w:iCs/>
        </w:rPr>
        <w:t>Periphyseon</w:t>
      </w:r>
      <w:proofErr w:type="spellEnd"/>
      <w:r w:rsidR="003A0276" w:rsidRPr="003A0276">
        <w:rPr>
          <w:rFonts w:cs="Times New Roman"/>
        </w:rPr>
        <w:t>, 523D, 123.</w:t>
      </w:r>
    </w:p>
  </w:footnote>
  <w:footnote w:id="15">
    <w:p w14:paraId="1B0EAA99" w14:textId="6405A7AF" w:rsidR="00B62C19" w:rsidRPr="00B62C19" w:rsidRDefault="00B62C19">
      <w:pPr>
        <w:pStyle w:val="FootnoteText"/>
        <w:rPr>
          <w:lang w:val="en-US"/>
        </w:rPr>
      </w:pPr>
      <w:r>
        <w:rPr>
          <w:rStyle w:val="FootnoteReference"/>
        </w:rPr>
        <w:footnoteRef/>
      </w:r>
      <w:r>
        <w:t xml:space="preserve"> </w:t>
      </w:r>
      <w:r w:rsidR="003A0276" w:rsidRPr="003A0276">
        <w:rPr>
          <w:rFonts w:cs="Times New Roman"/>
        </w:rPr>
        <w:t xml:space="preserve">Natalia </w:t>
      </w:r>
      <w:proofErr w:type="spellStart"/>
      <w:r w:rsidR="003A0276" w:rsidRPr="003A0276">
        <w:rPr>
          <w:rFonts w:cs="Times New Roman"/>
        </w:rPr>
        <w:t>Strok</w:t>
      </w:r>
      <w:proofErr w:type="spellEnd"/>
      <w:r w:rsidR="003A0276" w:rsidRPr="003A0276">
        <w:rPr>
          <w:rFonts w:cs="Times New Roman"/>
        </w:rPr>
        <w:t>, “</w:t>
      </w:r>
      <w:proofErr w:type="spellStart"/>
      <w:r w:rsidR="003A0276" w:rsidRPr="003A0276">
        <w:rPr>
          <w:rFonts w:cs="Times New Roman"/>
        </w:rPr>
        <w:t>Eriugena’s</w:t>
      </w:r>
      <w:proofErr w:type="spellEnd"/>
      <w:r w:rsidR="003A0276" w:rsidRPr="003A0276">
        <w:rPr>
          <w:rFonts w:cs="Times New Roman"/>
        </w:rPr>
        <w:t xml:space="preserve"> Pantheism: Brucker, </w:t>
      </w:r>
      <w:proofErr w:type="spellStart"/>
      <w:r w:rsidR="003A0276" w:rsidRPr="003A0276">
        <w:rPr>
          <w:rFonts w:cs="Times New Roman"/>
        </w:rPr>
        <w:t>Tennemann</w:t>
      </w:r>
      <w:proofErr w:type="spellEnd"/>
      <w:r w:rsidR="003A0276" w:rsidRPr="003A0276">
        <w:rPr>
          <w:rFonts w:cs="Times New Roman"/>
        </w:rPr>
        <w:t xml:space="preserve"> and </w:t>
      </w:r>
      <w:proofErr w:type="spellStart"/>
      <w:r w:rsidR="003A0276" w:rsidRPr="003A0276">
        <w:rPr>
          <w:rFonts w:cs="Times New Roman"/>
        </w:rPr>
        <w:t>Rixner’s</w:t>
      </w:r>
      <w:proofErr w:type="spellEnd"/>
      <w:r w:rsidR="003A0276" w:rsidRPr="003A0276">
        <w:rPr>
          <w:rFonts w:cs="Times New Roman"/>
        </w:rPr>
        <w:t xml:space="preserve"> Reading of </w:t>
      </w:r>
      <w:proofErr w:type="spellStart"/>
      <w:r w:rsidR="003A0276" w:rsidRPr="003A0276">
        <w:rPr>
          <w:rFonts w:cs="Times New Roman"/>
        </w:rPr>
        <w:t>Periphyseon</w:t>
      </w:r>
      <w:proofErr w:type="spellEnd"/>
      <w:r w:rsidR="003A0276" w:rsidRPr="003A0276">
        <w:rPr>
          <w:rFonts w:cs="Times New Roman"/>
        </w:rPr>
        <w:t xml:space="preserve">,” </w:t>
      </w:r>
      <w:proofErr w:type="spellStart"/>
      <w:r w:rsidR="003A0276" w:rsidRPr="003A0276">
        <w:rPr>
          <w:rFonts w:cs="Times New Roman"/>
          <w:i/>
          <w:iCs/>
        </w:rPr>
        <w:t>Archiv</w:t>
      </w:r>
      <w:proofErr w:type="spellEnd"/>
      <w:r w:rsidR="003A0276" w:rsidRPr="003A0276">
        <w:rPr>
          <w:rFonts w:cs="Times New Roman"/>
          <w:i/>
          <w:iCs/>
        </w:rPr>
        <w:t xml:space="preserve"> Für </w:t>
      </w:r>
      <w:proofErr w:type="spellStart"/>
      <w:r w:rsidR="003A0276" w:rsidRPr="003A0276">
        <w:rPr>
          <w:rFonts w:cs="Times New Roman"/>
          <w:i/>
          <w:iCs/>
        </w:rPr>
        <w:t>Begriffsgeschichte</w:t>
      </w:r>
      <w:proofErr w:type="spellEnd"/>
      <w:r w:rsidR="003A0276" w:rsidRPr="003A0276">
        <w:rPr>
          <w:rFonts w:cs="Times New Roman"/>
        </w:rPr>
        <w:t xml:space="preserve"> 57 (2015): 114.</w:t>
      </w:r>
    </w:p>
  </w:footnote>
  <w:footnote w:id="16">
    <w:p w14:paraId="39AA312F" w14:textId="799C5415" w:rsidR="00DC0EDA" w:rsidRPr="00DC0EDA" w:rsidRDefault="00DC0EDA">
      <w:pPr>
        <w:pStyle w:val="FootnoteText"/>
        <w:rPr>
          <w:lang w:val="en-US"/>
        </w:rPr>
      </w:pPr>
      <w:r>
        <w:rPr>
          <w:rStyle w:val="FootnoteReference"/>
        </w:rPr>
        <w:footnoteRef/>
      </w:r>
      <w:r>
        <w:t xml:space="preserve"> </w:t>
      </w:r>
      <w:proofErr w:type="spellStart"/>
      <w:r w:rsidR="003A0276" w:rsidRPr="003A0276">
        <w:rPr>
          <w:rFonts w:cs="Times New Roman"/>
        </w:rPr>
        <w:t>Eriugena</w:t>
      </w:r>
      <w:proofErr w:type="spellEnd"/>
      <w:r w:rsidR="003A0276" w:rsidRPr="003A0276">
        <w:rPr>
          <w:rFonts w:cs="Times New Roman"/>
        </w:rPr>
        <w:t xml:space="preserve">, </w:t>
      </w:r>
      <w:proofErr w:type="spellStart"/>
      <w:r w:rsidR="003A0276" w:rsidRPr="003A0276">
        <w:rPr>
          <w:rFonts w:cs="Times New Roman"/>
          <w:i/>
          <w:iCs/>
        </w:rPr>
        <w:t>Periphyseon</w:t>
      </w:r>
      <w:proofErr w:type="spellEnd"/>
      <w:r w:rsidR="003A0276" w:rsidRPr="003A0276">
        <w:rPr>
          <w:rFonts w:cs="Times New Roman"/>
        </w:rPr>
        <w:t>, 589B-C, 143–45.</w:t>
      </w:r>
    </w:p>
  </w:footnote>
  <w:footnote w:id="17">
    <w:p w14:paraId="37AAE5F9" w14:textId="55ABC9B5" w:rsidR="0019560A" w:rsidRPr="0019560A" w:rsidRDefault="0019560A">
      <w:pPr>
        <w:pStyle w:val="FootnoteText"/>
        <w:rPr>
          <w:lang w:val="en-US"/>
        </w:rPr>
      </w:pPr>
      <w:r>
        <w:rPr>
          <w:rStyle w:val="FootnoteReference"/>
        </w:rPr>
        <w:footnoteRef/>
      </w:r>
      <w:r>
        <w:t xml:space="preserve"> </w:t>
      </w:r>
      <w:r w:rsidR="003A0276" w:rsidRPr="003A0276">
        <w:rPr>
          <w:rFonts w:cs="Times New Roman"/>
        </w:rPr>
        <w:t xml:space="preserve">Donald </w:t>
      </w:r>
      <w:proofErr w:type="spellStart"/>
      <w:r w:rsidR="003A0276" w:rsidRPr="003A0276">
        <w:rPr>
          <w:rFonts w:cs="Times New Roman"/>
        </w:rPr>
        <w:t>Duclow</w:t>
      </w:r>
      <w:proofErr w:type="spellEnd"/>
      <w:r w:rsidR="003A0276" w:rsidRPr="003A0276">
        <w:rPr>
          <w:rFonts w:cs="Times New Roman"/>
        </w:rPr>
        <w:t xml:space="preserve">, “Divine Nothingness and Self-Creation in John Scotus </w:t>
      </w:r>
      <w:proofErr w:type="spellStart"/>
      <w:r w:rsidR="003A0276" w:rsidRPr="003A0276">
        <w:rPr>
          <w:rFonts w:cs="Times New Roman"/>
        </w:rPr>
        <w:t>Eriugena</w:t>
      </w:r>
      <w:proofErr w:type="spellEnd"/>
      <w:r w:rsidR="003A0276" w:rsidRPr="003A0276">
        <w:rPr>
          <w:rFonts w:cs="Times New Roman"/>
        </w:rPr>
        <w:t xml:space="preserve">,” </w:t>
      </w:r>
      <w:r w:rsidR="003A0276" w:rsidRPr="003A0276">
        <w:rPr>
          <w:rFonts w:cs="Times New Roman"/>
          <w:i/>
          <w:iCs/>
        </w:rPr>
        <w:t>The Journal of Religion</w:t>
      </w:r>
      <w:r w:rsidR="003A0276" w:rsidRPr="003A0276">
        <w:rPr>
          <w:rFonts w:cs="Times New Roman"/>
        </w:rPr>
        <w:t xml:space="preserve"> 57, no. 2 (1977): 112.</w:t>
      </w:r>
    </w:p>
  </w:footnote>
  <w:footnote w:id="18">
    <w:p w14:paraId="53565AA9" w14:textId="0D3BF51B" w:rsidR="00CA3E74" w:rsidRPr="00CA3E74" w:rsidRDefault="00CA3E74">
      <w:pPr>
        <w:pStyle w:val="FootnoteText"/>
      </w:pPr>
      <w:r>
        <w:rPr>
          <w:rStyle w:val="FootnoteReference"/>
        </w:rPr>
        <w:footnoteRef/>
      </w:r>
      <w:r>
        <w:t xml:space="preserve"> Henceforward I will use the term </w:t>
      </w:r>
      <w:r w:rsidR="00A749F9">
        <w:t>“</w:t>
      </w:r>
      <w:r>
        <w:t>theophany</w:t>
      </w:r>
      <w:r w:rsidR="00A749F9">
        <w:t>”</w:t>
      </w:r>
      <w:r>
        <w:t xml:space="preserve"> to refer to a</w:t>
      </w:r>
      <w:r w:rsidR="00AE22B1">
        <w:t>ny</w:t>
      </w:r>
      <w:r>
        <w:t xml:space="preserve"> </w:t>
      </w:r>
      <w:r w:rsidR="00AE22B1">
        <w:t>theory explaining</w:t>
      </w:r>
      <w:r>
        <w:t xml:space="preserve"> </w:t>
      </w:r>
      <w:proofErr w:type="gramStart"/>
      <w:r>
        <w:t>particular things</w:t>
      </w:r>
      <w:proofErr w:type="gramEnd"/>
      <w:r>
        <w:t xml:space="preserve"> as </w:t>
      </w:r>
      <w:r w:rsidR="00C36F3C">
        <w:t xml:space="preserve">manifestations or </w:t>
      </w:r>
      <w:r>
        <w:t>theophanies of the divine nature.</w:t>
      </w:r>
      <w:r w:rsidR="00C36F3C">
        <w:t xml:space="preserve"> Context will</w:t>
      </w:r>
      <w:r w:rsidR="006B32CF">
        <w:t xml:space="preserve">, I hope, </w:t>
      </w:r>
      <w:r w:rsidR="00C36F3C">
        <w:t xml:space="preserve">make clear whether </w:t>
      </w:r>
      <w:r w:rsidR="00A749F9">
        <w:t>“</w:t>
      </w:r>
      <w:r w:rsidR="00C36F3C">
        <w:t>theophany</w:t>
      </w:r>
      <w:r w:rsidR="00A749F9">
        <w:t>”</w:t>
      </w:r>
      <w:r w:rsidR="00C36F3C">
        <w:t xml:space="preserve"> is being used </w:t>
      </w:r>
      <w:r w:rsidR="009D36F1">
        <w:t>as a name for this sort of theory</w:t>
      </w:r>
      <w:r w:rsidR="00C36F3C">
        <w:t xml:space="preserve"> or to refer to a specific manifestation of the divine nature.</w:t>
      </w:r>
    </w:p>
  </w:footnote>
  <w:footnote w:id="19">
    <w:p w14:paraId="0EA3E467" w14:textId="6670AB23" w:rsidR="00677F02" w:rsidRPr="00677F02" w:rsidRDefault="00677F02">
      <w:pPr>
        <w:pStyle w:val="FootnoteText"/>
        <w:rPr>
          <w:lang w:val="en-US"/>
        </w:rPr>
      </w:pPr>
      <w:r>
        <w:rPr>
          <w:rStyle w:val="FootnoteReference"/>
        </w:rPr>
        <w:footnoteRef/>
      </w:r>
      <w:r>
        <w:t xml:space="preserve"> </w:t>
      </w:r>
      <w:r w:rsidR="003A0276" w:rsidRPr="003A0276">
        <w:rPr>
          <w:rFonts w:cs="Times New Roman"/>
        </w:rPr>
        <w:t xml:space="preserve">Harold H. Joachim, </w:t>
      </w:r>
      <w:r w:rsidR="003A0276" w:rsidRPr="003A0276">
        <w:rPr>
          <w:rFonts w:cs="Times New Roman"/>
          <w:i/>
          <w:iCs/>
        </w:rPr>
        <w:t xml:space="preserve">A Study of the Ethics of Spinoza: </w:t>
      </w:r>
      <w:proofErr w:type="spellStart"/>
      <w:r w:rsidR="003A0276" w:rsidRPr="003A0276">
        <w:rPr>
          <w:rFonts w:cs="Times New Roman"/>
          <w:i/>
          <w:iCs/>
        </w:rPr>
        <w:t>Ethica</w:t>
      </w:r>
      <w:proofErr w:type="spellEnd"/>
      <w:r w:rsidR="003A0276" w:rsidRPr="003A0276">
        <w:rPr>
          <w:rFonts w:cs="Times New Roman"/>
          <w:i/>
          <w:iCs/>
        </w:rPr>
        <w:t xml:space="preserve"> </w:t>
      </w:r>
      <w:proofErr w:type="spellStart"/>
      <w:r w:rsidR="003A0276" w:rsidRPr="003A0276">
        <w:rPr>
          <w:rFonts w:cs="Times New Roman"/>
          <w:i/>
          <w:iCs/>
        </w:rPr>
        <w:t>Ordine</w:t>
      </w:r>
      <w:proofErr w:type="spellEnd"/>
      <w:r w:rsidR="003A0276" w:rsidRPr="003A0276">
        <w:rPr>
          <w:rFonts w:cs="Times New Roman"/>
          <w:i/>
          <w:iCs/>
        </w:rPr>
        <w:t xml:space="preserve"> </w:t>
      </w:r>
      <w:proofErr w:type="spellStart"/>
      <w:r w:rsidR="003A0276" w:rsidRPr="003A0276">
        <w:rPr>
          <w:rFonts w:cs="Times New Roman"/>
          <w:i/>
          <w:iCs/>
        </w:rPr>
        <w:t>Geometrico</w:t>
      </w:r>
      <w:proofErr w:type="spellEnd"/>
      <w:r w:rsidR="003A0276" w:rsidRPr="003A0276">
        <w:rPr>
          <w:rFonts w:cs="Times New Roman"/>
          <w:i/>
          <w:iCs/>
        </w:rPr>
        <w:t xml:space="preserve"> </w:t>
      </w:r>
      <w:proofErr w:type="spellStart"/>
      <w:r w:rsidR="003A0276" w:rsidRPr="003A0276">
        <w:rPr>
          <w:rFonts w:cs="Times New Roman"/>
          <w:i/>
          <w:iCs/>
        </w:rPr>
        <w:t>Demonstrata</w:t>
      </w:r>
      <w:proofErr w:type="spellEnd"/>
      <w:r w:rsidR="003A0276" w:rsidRPr="003A0276">
        <w:rPr>
          <w:rFonts w:cs="Times New Roman"/>
        </w:rPr>
        <w:t xml:space="preserve"> (Oxford: Clarendon Press, 1901), 104.</w:t>
      </w:r>
    </w:p>
  </w:footnote>
  <w:footnote w:id="20">
    <w:p w14:paraId="50CF9C06" w14:textId="09B58536" w:rsidR="000F564C" w:rsidRPr="000F564C" w:rsidRDefault="000F564C">
      <w:pPr>
        <w:pStyle w:val="FootnoteText"/>
      </w:pPr>
      <w:r>
        <w:rPr>
          <w:rStyle w:val="FootnoteReference"/>
        </w:rPr>
        <w:footnoteRef/>
      </w:r>
      <w:r>
        <w:t xml:space="preserve"> </w:t>
      </w:r>
      <w:r w:rsidR="003A0276" w:rsidRPr="003A0276">
        <w:rPr>
          <w:rFonts w:cs="Times New Roman"/>
        </w:rPr>
        <w:t xml:space="preserve">Lewis Robinson, </w:t>
      </w:r>
      <w:proofErr w:type="spellStart"/>
      <w:r w:rsidR="003A0276" w:rsidRPr="003A0276">
        <w:rPr>
          <w:rFonts w:cs="Times New Roman"/>
          <w:i/>
          <w:iCs/>
        </w:rPr>
        <w:t>Kommentar</w:t>
      </w:r>
      <w:proofErr w:type="spellEnd"/>
      <w:r w:rsidR="003A0276" w:rsidRPr="003A0276">
        <w:rPr>
          <w:rFonts w:cs="Times New Roman"/>
          <w:i/>
          <w:iCs/>
        </w:rPr>
        <w:t xml:space="preserve"> </w:t>
      </w:r>
      <w:proofErr w:type="spellStart"/>
      <w:r w:rsidR="003A0276" w:rsidRPr="003A0276">
        <w:rPr>
          <w:rFonts w:cs="Times New Roman"/>
          <w:i/>
          <w:iCs/>
        </w:rPr>
        <w:t>zu</w:t>
      </w:r>
      <w:proofErr w:type="spellEnd"/>
      <w:r w:rsidR="003A0276" w:rsidRPr="003A0276">
        <w:rPr>
          <w:rFonts w:cs="Times New Roman"/>
          <w:i/>
          <w:iCs/>
        </w:rPr>
        <w:t xml:space="preserve"> </w:t>
      </w:r>
      <w:proofErr w:type="spellStart"/>
      <w:r w:rsidR="003A0276" w:rsidRPr="003A0276">
        <w:rPr>
          <w:rFonts w:cs="Times New Roman"/>
          <w:i/>
          <w:iCs/>
        </w:rPr>
        <w:t>Spinozas</w:t>
      </w:r>
      <w:proofErr w:type="spellEnd"/>
      <w:r w:rsidR="003A0276" w:rsidRPr="003A0276">
        <w:rPr>
          <w:rFonts w:cs="Times New Roman"/>
          <w:i/>
          <w:iCs/>
        </w:rPr>
        <w:t xml:space="preserve"> </w:t>
      </w:r>
      <w:proofErr w:type="spellStart"/>
      <w:r w:rsidR="003A0276" w:rsidRPr="003A0276">
        <w:rPr>
          <w:rFonts w:cs="Times New Roman"/>
          <w:i/>
          <w:iCs/>
        </w:rPr>
        <w:t>Ethik</w:t>
      </w:r>
      <w:proofErr w:type="spellEnd"/>
      <w:r w:rsidR="003A0276" w:rsidRPr="003A0276">
        <w:rPr>
          <w:rFonts w:cs="Times New Roman"/>
        </w:rPr>
        <w:t xml:space="preserve"> (Hamburg: Felix </w:t>
      </w:r>
      <w:proofErr w:type="spellStart"/>
      <w:r w:rsidR="003A0276" w:rsidRPr="003A0276">
        <w:rPr>
          <w:rFonts w:cs="Times New Roman"/>
        </w:rPr>
        <w:t>Meiner</w:t>
      </w:r>
      <w:proofErr w:type="spellEnd"/>
      <w:r w:rsidR="003A0276" w:rsidRPr="003A0276">
        <w:rPr>
          <w:rFonts w:cs="Times New Roman"/>
        </w:rPr>
        <w:t xml:space="preserve">, 1928); Pierre </w:t>
      </w:r>
      <w:proofErr w:type="spellStart"/>
      <w:r w:rsidR="003A0276" w:rsidRPr="003A0276">
        <w:rPr>
          <w:rFonts w:cs="Times New Roman"/>
        </w:rPr>
        <w:t>Macherey</w:t>
      </w:r>
      <w:proofErr w:type="spellEnd"/>
      <w:r w:rsidR="003A0276" w:rsidRPr="003A0276">
        <w:rPr>
          <w:rFonts w:cs="Times New Roman"/>
        </w:rPr>
        <w:t xml:space="preserve">, </w:t>
      </w:r>
      <w:r w:rsidR="003A0276" w:rsidRPr="003A0276">
        <w:rPr>
          <w:rFonts w:cs="Times New Roman"/>
          <w:i/>
          <w:iCs/>
        </w:rPr>
        <w:t>Hegel or Spinoza</w:t>
      </w:r>
      <w:r w:rsidR="003A0276" w:rsidRPr="003A0276">
        <w:rPr>
          <w:rFonts w:cs="Times New Roman"/>
        </w:rPr>
        <w:t xml:space="preserve">, trans. Susan M. Ruddick (Minneapolis: University of Minnesota Press, 2011); Robert Stern, “‘Determination Is Negation’: The Adventures of a Doctrine from Spinoza to Hegel to the British Idealists,” </w:t>
      </w:r>
      <w:r w:rsidR="003A0276" w:rsidRPr="003A0276">
        <w:rPr>
          <w:rFonts w:cs="Times New Roman"/>
          <w:i/>
          <w:iCs/>
        </w:rPr>
        <w:t>Hegel Bulletin</w:t>
      </w:r>
      <w:r w:rsidR="003A0276" w:rsidRPr="003A0276">
        <w:rPr>
          <w:rFonts w:cs="Times New Roman"/>
        </w:rPr>
        <w:t xml:space="preserve"> 37, no. 1 (May 2016): 29–52.</w:t>
      </w:r>
    </w:p>
  </w:footnote>
  <w:footnote w:id="21">
    <w:p w14:paraId="2AA7EF9D" w14:textId="7DAD9413" w:rsidR="003247D0" w:rsidRPr="003247D0" w:rsidRDefault="003247D0">
      <w:pPr>
        <w:pStyle w:val="FootnoteText"/>
      </w:pPr>
      <w:r>
        <w:rPr>
          <w:rStyle w:val="FootnoteReference"/>
        </w:rPr>
        <w:footnoteRef/>
      </w:r>
      <w:r>
        <w:t xml:space="preserve"> </w:t>
      </w:r>
      <w:r w:rsidR="003A0276" w:rsidRPr="003A0276">
        <w:rPr>
          <w:rFonts w:cs="Times New Roman"/>
        </w:rPr>
        <w:t xml:space="preserve">Yitzhak Melamed, “‘Omnis </w:t>
      </w:r>
      <w:proofErr w:type="spellStart"/>
      <w:r w:rsidR="003A0276" w:rsidRPr="003A0276">
        <w:rPr>
          <w:rFonts w:cs="Times New Roman"/>
        </w:rPr>
        <w:t>Determinatio</w:t>
      </w:r>
      <w:proofErr w:type="spellEnd"/>
      <w:r w:rsidR="003A0276" w:rsidRPr="003A0276">
        <w:rPr>
          <w:rFonts w:cs="Times New Roman"/>
        </w:rPr>
        <w:t xml:space="preserve"> Est </w:t>
      </w:r>
      <w:proofErr w:type="spellStart"/>
      <w:r w:rsidR="003A0276" w:rsidRPr="003A0276">
        <w:rPr>
          <w:rFonts w:cs="Times New Roman"/>
        </w:rPr>
        <w:t>Negatio</w:t>
      </w:r>
      <w:proofErr w:type="spellEnd"/>
      <w:r w:rsidR="003A0276" w:rsidRPr="003A0276">
        <w:rPr>
          <w:rFonts w:cs="Times New Roman"/>
        </w:rPr>
        <w:t xml:space="preserve">’ – Determination, Negation and Self-Negation in Spinoza, Kant, and Hegel,” in </w:t>
      </w:r>
      <w:r w:rsidR="003A0276" w:rsidRPr="003A0276">
        <w:rPr>
          <w:rFonts w:cs="Times New Roman"/>
          <w:i/>
          <w:iCs/>
        </w:rPr>
        <w:t>Spinoza and German Idealism</w:t>
      </w:r>
      <w:r w:rsidR="003A0276" w:rsidRPr="003A0276">
        <w:rPr>
          <w:rFonts w:cs="Times New Roman"/>
        </w:rPr>
        <w:t>, ed. Eckart Forster and Yitzhak Melamed (Cambridge: Cambridge University Press, 2012).</w:t>
      </w:r>
    </w:p>
  </w:footnote>
  <w:footnote w:id="22">
    <w:p w14:paraId="5D6EC51F" w14:textId="600E123F" w:rsidR="000F564C" w:rsidRPr="00A66BB6" w:rsidRDefault="000F564C" w:rsidP="000F564C">
      <w:pPr>
        <w:pStyle w:val="FootnoteText"/>
      </w:pPr>
      <w:r w:rsidRPr="00A66BB6">
        <w:rPr>
          <w:rStyle w:val="FootnoteReference"/>
        </w:rPr>
        <w:footnoteRef/>
      </w:r>
      <w:r w:rsidRPr="00A66BB6">
        <w:t xml:space="preserve"> </w:t>
      </w:r>
      <w:r w:rsidR="003A0276">
        <w:t>Melamed, 185.</w:t>
      </w:r>
      <w:r w:rsidR="00B67E01">
        <w:t xml:space="preserve"> </w:t>
      </w:r>
    </w:p>
  </w:footnote>
  <w:footnote w:id="23">
    <w:p w14:paraId="1A6AEFB8" w14:textId="35444F0F" w:rsidR="00A766A3" w:rsidRPr="00B441F4" w:rsidRDefault="00A766A3" w:rsidP="00A766A3">
      <w:pPr>
        <w:pStyle w:val="FootnoteText"/>
        <w:rPr>
          <w:lang w:val="en-US"/>
        </w:rPr>
      </w:pPr>
      <w:r w:rsidRPr="005F3607">
        <w:rPr>
          <w:rStyle w:val="FootnoteReference"/>
        </w:rPr>
        <w:footnoteRef/>
      </w:r>
      <w:r w:rsidRPr="00B441F4">
        <w:t xml:space="preserve"> </w:t>
      </w:r>
      <w:r w:rsidR="003A0276" w:rsidRPr="003A0276">
        <w:rPr>
          <w:rFonts w:cs="Times New Roman"/>
        </w:rPr>
        <w:t xml:space="preserve">Benedictus de Spinoza, </w:t>
      </w:r>
      <w:r w:rsidR="003A0276" w:rsidRPr="003A0276">
        <w:rPr>
          <w:rFonts w:cs="Times New Roman"/>
          <w:i/>
          <w:iCs/>
        </w:rPr>
        <w:t>The Collected Works of Spinoza</w:t>
      </w:r>
      <w:r w:rsidR="003A0276" w:rsidRPr="003A0276">
        <w:rPr>
          <w:rFonts w:cs="Times New Roman"/>
        </w:rPr>
        <w:t>, trans. Edwin Curley, vol. 2 (Princeton: Princeton University Press, 2016), 29–30.</w:t>
      </w:r>
    </w:p>
  </w:footnote>
  <w:footnote w:id="24">
    <w:p w14:paraId="0E2F5EBC" w14:textId="04E28C0F" w:rsidR="00B8176A" w:rsidRPr="00B441F4" w:rsidRDefault="00B8176A" w:rsidP="00B8176A">
      <w:pPr>
        <w:pStyle w:val="FootnoteText"/>
        <w:rPr>
          <w:lang w:val="en-US"/>
        </w:rPr>
      </w:pPr>
      <w:r w:rsidRPr="005F3607">
        <w:rPr>
          <w:rStyle w:val="FootnoteReference"/>
        </w:rPr>
        <w:footnoteRef/>
      </w:r>
      <w:r w:rsidRPr="00B441F4">
        <w:t xml:space="preserve"> </w:t>
      </w:r>
      <w:r w:rsidR="003A0276" w:rsidRPr="003A0276">
        <w:rPr>
          <w:rFonts w:cs="Times New Roman"/>
        </w:rPr>
        <w:t xml:space="preserve">Harry </w:t>
      </w:r>
      <w:proofErr w:type="spellStart"/>
      <w:r w:rsidR="003A0276" w:rsidRPr="003A0276">
        <w:rPr>
          <w:rFonts w:cs="Times New Roman"/>
        </w:rPr>
        <w:t>Austryn</w:t>
      </w:r>
      <w:proofErr w:type="spellEnd"/>
      <w:r w:rsidR="003A0276" w:rsidRPr="003A0276">
        <w:rPr>
          <w:rFonts w:cs="Times New Roman"/>
        </w:rPr>
        <w:t xml:space="preserve"> Wolfson, </w:t>
      </w:r>
      <w:r w:rsidR="003A0276" w:rsidRPr="003A0276">
        <w:rPr>
          <w:rFonts w:cs="Times New Roman"/>
          <w:i/>
          <w:iCs/>
        </w:rPr>
        <w:t>The Philosophy of Spinoza: Unfolding the Latent Processes of His Reasoning</w:t>
      </w:r>
      <w:r w:rsidR="003A0276" w:rsidRPr="003A0276">
        <w:rPr>
          <w:rFonts w:cs="Times New Roman"/>
        </w:rPr>
        <w:t xml:space="preserve"> (Cambridge: Harvard University Press, 1948), 1.88.</w:t>
      </w:r>
    </w:p>
  </w:footnote>
  <w:footnote w:id="25">
    <w:p w14:paraId="5A203DF1" w14:textId="3C2357DD" w:rsidR="00B8176A" w:rsidRPr="00B441F4" w:rsidRDefault="00B8176A" w:rsidP="00B8176A">
      <w:pPr>
        <w:pStyle w:val="FootnoteText"/>
        <w:rPr>
          <w:lang w:val="en-US"/>
        </w:rPr>
      </w:pPr>
      <w:r w:rsidRPr="005F3607">
        <w:rPr>
          <w:rStyle w:val="FootnoteReference"/>
        </w:rPr>
        <w:footnoteRef/>
      </w:r>
      <w:r w:rsidRPr="00B441F4">
        <w:t xml:space="preserve"> </w:t>
      </w:r>
      <w:r w:rsidR="003A0276">
        <w:rPr>
          <w:rFonts w:cs="Times New Roman"/>
        </w:rPr>
        <w:t>Wolfson, 1.89.</w:t>
      </w:r>
    </w:p>
  </w:footnote>
  <w:footnote w:id="26">
    <w:p w14:paraId="7233F002" w14:textId="5402AC75" w:rsidR="003512C0" w:rsidRPr="003512C0" w:rsidRDefault="003512C0">
      <w:pPr>
        <w:pStyle w:val="FootnoteText"/>
      </w:pPr>
      <w:r>
        <w:rPr>
          <w:rStyle w:val="FootnoteReference"/>
        </w:rPr>
        <w:footnoteRef/>
      </w:r>
      <w:r>
        <w:t xml:space="preserve"> </w:t>
      </w:r>
      <w:r w:rsidR="003A0276" w:rsidRPr="003A0276">
        <w:rPr>
          <w:rFonts w:cs="Times New Roman"/>
        </w:rPr>
        <w:t xml:space="preserve">Gertrude Elizabeth Margaret Anscombe and Peter Thomas </w:t>
      </w:r>
      <w:proofErr w:type="spellStart"/>
      <w:r w:rsidR="003A0276" w:rsidRPr="003A0276">
        <w:rPr>
          <w:rFonts w:cs="Times New Roman"/>
        </w:rPr>
        <w:t>Geach</w:t>
      </w:r>
      <w:proofErr w:type="spellEnd"/>
      <w:r w:rsidR="003A0276" w:rsidRPr="003A0276">
        <w:rPr>
          <w:rFonts w:cs="Times New Roman"/>
        </w:rPr>
        <w:t xml:space="preserve">, </w:t>
      </w:r>
      <w:r w:rsidR="003A0276" w:rsidRPr="003A0276">
        <w:rPr>
          <w:rFonts w:cs="Times New Roman"/>
          <w:i/>
          <w:iCs/>
        </w:rPr>
        <w:t>Three Philosophers</w:t>
      </w:r>
      <w:r w:rsidR="003A0276" w:rsidRPr="003A0276">
        <w:rPr>
          <w:rFonts w:cs="Times New Roman"/>
        </w:rPr>
        <w:t xml:space="preserve"> (Oxford: Wiley-Blackwell, 1973), “Aristotle.”</w:t>
      </w:r>
      <w:r w:rsidR="007C04E1">
        <w:t xml:space="preserve"> </w:t>
      </w:r>
      <w:r w:rsidR="00207D4E">
        <w:t xml:space="preserve">Similar arguments are made in: </w:t>
      </w:r>
      <w:r w:rsidR="003A0276" w:rsidRPr="003A0276">
        <w:rPr>
          <w:rFonts w:cs="Times New Roman"/>
        </w:rPr>
        <w:t xml:space="preserve">Peter Thomas </w:t>
      </w:r>
      <w:proofErr w:type="spellStart"/>
      <w:r w:rsidR="003A0276" w:rsidRPr="003A0276">
        <w:rPr>
          <w:rFonts w:cs="Times New Roman"/>
        </w:rPr>
        <w:t>Geach</w:t>
      </w:r>
      <w:proofErr w:type="spellEnd"/>
      <w:r w:rsidR="003A0276" w:rsidRPr="003A0276">
        <w:rPr>
          <w:rFonts w:cs="Times New Roman"/>
        </w:rPr>
        <w:t xml:space="preserve">, “Form and Existence,” in </w:t>
      </w:r>
      <w:r w:rsidR="003A0276" w:rsidRPr="003A0276">
        <w:rPr>
          <w:rFonts w:cs="Times New Roman"/>
          <w:i/>
          <w:iCs/>
        </w:rPr>
        <w:t>God and the Soul</w:t>
      </w:r>
      <w:r w:rsidR="003A0276" w:rsidRPr="003A0276">
        <w:rPr>
          <w:rFonts w:cs="Times New Roman"/>
        </w:rPr>
        <w:t xml:space="preserve"> (South Bend: St. Augustine’s Press, 1969), 42–64; Anthony Kenny, </w:t>
      </w:r>
      <w:r w:rsidR="003A0276" w:rsidRPr="003A0276">
        <w:rPr>
          <w:rFonts w:cs="Times New Roman"/>
          <w:i/>
          <w:iCs/>
        </w:rPr>
        <w:t>Aquinas</w:t>
      </w:r>
      <w:r w:rsidR="003A0276" w:rsidRPr="003A0276">
        <w:rPr>
          <w:rFonts w:cs="Times New Roman"/>
        </w:rPr>
        <w:t xml:space="preserve"> (Oxford: Oxford University Press, 1980), 50ff.; Anthony Kenny, </w:t>
      </w:r>
      <w:r w:rsidR="003A0276" w:rsidRPr="003A0276">
        <w:rPr>
          <w:rFonts w:cs="Times New Roman"/>
          <w:i/>
          <w:iCs/>
        </w:rPr>
        <w:t>Aquinas on Being</w:t>
      </w:r>
      <w:r w:rsidR="003A0276" w:rsidRPr="003A0276">
        <w:rPr>
          <w:rFonts w:cs="Times New Roman"/>
        </w:rPr>
        <w:t xml:space="preserve"> (Oxford: Clarendon Press, 2002), 42ff.; Anthony Kenny, “</w:t>
      </w:r>
      <w:proofErr w:type="spellStart"/>
      <w:r w:rsidR="003A0276" w:rsidRPr="003A0276">
        <w:rPr>
          <w:rFonts w:cs="Times New Roman"/>
        </w:rPr>
        <w:t>Quidditas</w:t>
      </w:r>
      <w:proofErr w:type="spellEnd"/>
      <w:r w:rsidR="003A0276" w:rsidRPr="003A0276">
        <w:rPr>
          <w:rFonts w:cs="Times New Roman"/>
        </w:rPr>
        <w:t xml:space="preserve"> and </w:t>
      </w:r>
      <w:proofErr w:type="spellStart"/>
      <w:r w:rsidR="003A0276" w:rsidRPr="003A0276">
        <w:rPr>
          <w:rFonts w:cs="Times New Roman"/>
        </w:rPr>
        <w:t>Anitas</w:t>
      </w:r>
      <w:proofErr w:type="spellEnd"/>
      <w:r w:rsidR="003A0276" w:rsidRPr="003A0276">
        <w:rPr>
          <w:rFonts w:cs="Times New Roman"/>
        </w:rPr>
        <w:t xml:space="preserve"> after Frege,” </w:t>
      </w:r>
      <w:proofErr w:type="spellStart"/>
      <w:r w:rsidR="003A0276" w:rsidRPr="003A0276">
        <w:rPr>
          <w:rFonts w:cs="Times New Roman"/>
          <w:i/>
          <w:iCs/>
        </w:rPr>
        <w:t>Giornale</w:t>
      </w:r>
      <w:proofErr w:type="spellEnd"/>
      <w:r w:rsidR="003A0276" w:rsidRPr="003A0276">
        <w:rPr>
          <w:rFonts w:cs="Times New Roman"/>
          <w:i/>
          <w:iCs/>
        </w:rPr>
        <w:t xml:space="preserve"> Di </w:t>
      </w:r>
      <w:proofErr w:type="spellStart"/>
      <w:r w:rsidR="003A0276" w:rsidRPr="003A0276">
        <w:rPr>
          <w:rFonts w:cs="Times New Roman"/>
          <w:i/>
          <w:iCs/>
        </w:rPr>
        <w:t>Metafisica</w:t>
      </w:r>
      <w:proofErr w:type="spellEnd"/>
      <w:r w:rsidR="003A0276" w:rsidRPr="003A0276">
        <w:rPr>
          <w:rFonts w:cs="Times New Roman"/>
        </w:rPr>
        <w:t xml:space="preserve"> 38, no. 1 (2016): 109–18.</w:t>
      </w:r>
      <w:r w:rsidR="00207D4E">
        <w:t xml:space="preserve"> Criticisms of these authors</w:t>
      </w:r>
      <w:r w:rsidR="00A749F9">
        <w:t>”</w:t>
      </w:r>
      <w:r w:rsidR="00207D4E">
        <w:t xml:space="preserve"> readings of Aquinas can be found in: </w:t>
      </w:r>
      <w:r w:rsidR="003A0276" w:rsidRPr="003A0276">
        <w:rPr>
          <w:rFonts w:cs="Times New Roman"/>
        </w:rPr>
        <w:t>Stephen Theron, “</w:t>
      </w:r>
      <w:proofErr w:type="spellStart"/>
      <w:r w:rsidR="003A0276" w:rsidRPr="003A0276">
        <w:rPr>
          <w:rFonts w:cs="Times New Roman"/>
        </w:rPr>
        <w:t>Esse</w:t>
      </w:r>
      <w:proofErr w:type="spellEnd"/>
      <w:r w:rsidR="003A0276" w:rsidRPr="003A0276">
        <w:rPr>
          <w:rFonts w:cs="Times New Roman"/>
        </w:rPr>
        <w:t xml:space="preserve">,” </w:t>
      </w:r>
      <w:r w:rsidR="003A0276" w:rsidRPr="003A0276">
        <w:rPr>
          <w:rFonts w:cs="Times New Roman"/>
          <w:i/>
          <w:iCs/>
        </w:rPr>
        <w:t>The New Scholasticism</w:t>
      </w:r>
      <w:r w:rsidR="003A0276" w:rsidRPr="003A0276">
        <w:rPr>
          <w:rFonts w:cs="Times New Roman"/>
        </w:rPr>
        <w:t xml:space="preserve"> 53, no. 2 (May 1, 1979): 206–20; Giovanni Ventimiglia, “Is the Thomistic Doctrine of God as ‘Ipsum </w:t>
      </w:r>
      <w:proofErr w:type="spellStart"/>
      <w:r w:rsidR="003A0276" w:rsidRPr="003A0276">
        <w:rPr>
          <w:rFonts w:cs="Times New Roman"/>
        </w:rPr>
        <w:t>Esse</w:t>
      </w:r>
      <w:proofErr w:type="spellEnd"/>
      <w:r w:rsidR="003A0276" w:rsidRPr="003A0276">
        <w:rPr>
          <w:rFonts w:cs="Times New Roman"/>
        </w:rPr>
        <w:t xml:space="preserve"> </w:t>
      </w:r>
      <w:proofErr w:type="spellStart"/>
      <w:r w:rsidR="003A0276" w:rsidRPr="003A0276">
        <w:rPr>
          <w:rFonts w:cs="Times New Roman"/>
        </w:rPr>
        <w:t>Subsistens</w:t>
      </w:r>
      <w:proofErr w:type="spellEnd"/>
      <w:r w:rsidR="003A0276" w:rsidRPr="003A0276">
        <w:rPr>
          <w:rFonts w:cs="Times New Roman"/>
        </w:rPr>
        <w:t xml:space="preserve">’ </w:t>
      </w:r>
      <w:proofErr w:type="gramStart"/>
      <w:r w:rsidR="003A0276" w:rsidRPr="003A0276">
        <w:rPr>
          <w:rFonts w:cs="Times New Roman"/>
        </w:rPr>
        <w:t>Consistent?,</w:t>
      </w:r>
      <w:proofErr w:type="gramEnd"/>
      <w:r w:rsidR="003A0276" w:rsidRPr="003A0276">
        <w:rPr>
          <w:rFonts w:cs="Times New Roman"/>
        </w:rPr>
        <w:t xml:space="preserve">” </w:t>
      </w:r>
      <w:r w:rsidR="003A0276" w:rsidRPr="003A0276">
        <w:rPr>
          <w:rFonts w:cs="Times New Roman"/>
          <w:i/>
          <w:iCs/>
        </w:rPr>
        <w:t>European Journal for Philosophy of Religion</w:t>
      </w:r>
      <w:r w:rsidR="003A0276" w:rsidRPr="003A0276">
        <w:rPr>
          <w:rFonts w:cs="Times New Roman"/>
        </w:rPr>
        <w:t xml:space="preserve"> 10, no. 4 (December 13, 2018): 161–91.</w:t>
      </w:r>
    </w:p>
  </w:footnote>
  <w:footnote w:id="27">
    <w:p w14:paraId="5CD5755C" w14:textId="323C3B7C" w:rsidR="00FD430F" w:rsidRPr="002E49F9" w:rsidRDefault="00FD430F" w:rsidP="00FD430F">
      <w:pPr>
        <w:pStyle w:val="FootnoteText"/>
        <w:rPr>
          <w:lang w:val="en-US"/>
        </w:rPr>
      </w:pPr>
      <w:r w:rsidRPr="006C277F">
        <w:rPr>
          <w:rStyle w:val="FootnoteReference"/>
        </w:rPr>
        <w:footnoteRef/>
      </w:r>
      <w:r w:rsidRPr="002E49F9">
        <w:t xml:space="preserve"> </w:t>
      </w:r>
      <w:r w:rsidR="003A0276" w:rsidRPr="003A0276">
        <w:rPr>
          <w:rFonts w:cs="Times New Roman"/>
        </w:rPr>
        <w:t xml:space="preserve">Anscombe and </w:t>
      </w:r>
      <w:proofErr w:type="spellStart"/>
      <w:r w:rsidR="003A0276" w:rsidRPr="003A0276">
        <w:rPr>
          <w:rFonts w:cs="Times New Roman"/>
        </w:rPr>
        <w:t>Geach</w:t>
      </w:r>
      <w:proofErr w:type="spellEnd"/>
      <w:r w:rsidR="003A0276" w:rsidRPr="003A0276">
        <w:rPr>
          <w:rFonts w:cs="Times New Roman"/>
        </w:rPr>
        <w:t xml:space="preserve">, </w:t>
      </w:r>
      <w:r w:rsidR="003A0276" w:rsidRPr="003A0276">
        <w:rPr>
          <w:rFonts w:cs="Times New Roman"/>
          <w:i/>
          <w:iCs/>
        </w:rPr>
        <w:t>Three Philosophers</w:t>
      </w:r>
      <w:r w:rsidR="003A0276" w:rsidRPr="003A0276">
        <w:rPr>
          <w:rFonts w:cs="Times New Roman"/>
        </w:rPr>
        <w:t>, 8.</w:t>
      </w:r>
    </w:p>
  </w:footnote>
  <w:footnote w:id="28">
    <w:p w14:paraId="0A5C273A" w14:textId="76D209A8" w:rsidR="00FD430F" w:rsidRPr="002E49F9" w:rsidRDefault="00FD430F" w:rsidP="00FD430F">
      <w:pPr>
        <w:pStyle w:val="FootnoteText"/>
        <w:rPr>
          <w:lang w:val="en-US"/>
        </w:rPr>
      </w:pPr>
      <w:r w:rsidRPr="006C277F">
        <w:rPr>
          <w:rStyle w:val="FootnoteReference"/>
        </w:rPr>
        <w:footnoteRef/>
      </w:r>
      <w:r w:rsidRPr="002E49F9">
        <w:t xml:space="preserve"> </w:t>
      </w:r>
      <w:r w:rsidR="003A0276" w:rsidRPr="003A0276">
        <w:rPr>
          <w:rFonts w:cs="Times New Roman"/>
        </w:rPr>
        <w:t xml:space="preserve">Gertrude Elizabeth Margaret Anscombe and Stephan </w:t>
      </w:r>
      <w:proofErr w:type="spellStart"/>
      <w:r w:rsidR="003A0276" w:rsidRPr="003A0276">
        <w:rPr>
          <w:rFonts w:cs="Times New Roman"/>
        </w:rPr>
        <w:t>Körner</w:t>
      </w:r>
      <w:proofErr w:type="spellEnd"/>
      <w:r w:rsidR="003A0276" w:rsidRPr="003A0276">
        <w:rPr>
          <w:rFonts w:cs="Times New Roman"/>
        </w:rPr>
        <w:t xml:space="preserve">, “Symposium: Substance,” </w:t>
      </w:r>
      <w:r w:rsidR="003A0276" w:rsidRPr="003A0276">
        <w:rPr>
          <w:rFonts w:cs="Times New Roman"/>
          <w:i/>
          <w:iCs/>
        </w:rPr>
        <w:t>Proceedings of the Aristotelian Society, Supplementary Volumes</w:t>
      </w:r>
      <w:r w:rsidR="003A0276" w:rsidRPr="003A0276">
        <w:rPr>
          <w:rFonts w:cs="Times New Roman"/>
        </w:rPr>
        <w:t xml:space="preserve"> 38 (1964): 70.</w:t>
      </w:r>
    </w:p>
  </w:footnote>
  <w:footnote w:id="29">
    <w:p w14:paraId="25359CFE" w14:textId="6843991F" w:rsidR="007F70A7" w:rsidRPr="002E49F9" w:rsidRDefault="007F70A7" w:rsidP="007F70A7">
      <w:pPr>
        <w:pStyle w:val="FootnoteText"/>
        <w:rPr>
          <w:lang w:val="en-US"/>
        </w:rPr>
      </w:pPr>
      <w:r w:rsidRPr="00C427DA">
        <w:rPr>
          <w:rStyle w:val="FootnoteReference"/>
        </w:rPr>
        <w:footnoteRef/>
      </w:r>
      <w:r w:rsidRPr="002E49F9">
        <w:t xml:space="preserve"> </w:t>
      </w:r>
      <w:r w:rsidR="003A0276" w:rsidRPr="003A0276">
        <w:rPr>
          <w:rFonts w:cs="Times New Roman"/>
        </w:rPr>
        <w:t xml:space="preserve">Theo Verbeek, ed., </w:t>
      </w:r>
      <w:r w:rsidR="003A0276" w:rsidRPr="003A0276">
        <w:rPr>
          <w:rFonts w:cs="Times New Roman"/>
          <w:i/>
          <w:iCs/>
        </w:rPr>
        <w:t xml:space="preserve">Johannes </w:t>
      </w:r>
      <w:proofErr w:type="spellStart"/>
      <w:r w:rsidR="003A0276" w:rsidRPr="003A0276">
        <w:rPr>
          <w:rFonts w:cs="Times New Roman"/>
          <w:i/>
          <w:iCs/>
        </w:rPr>
        <w:t>Clauberg</w:t>
      </w:r>
      <w:proofErr w:type="spellEnd"/>
      <w:r w:rsidR="003A0276" w:rsidRPr="003A0276">
        <w:rPr>
          <w:rFonts w:cs="Times New Roman"/>
          <w:i/>
          <w:iCs/>
        </w:rPr>
        <w:t xml:space="preserve"> (1622–1665): And Cartesian Philosophy in the Seventeenth Century</w:t>
      </w:r>
      <w:r w:rsidR="003A0276" w:rsidRPr="003A0276">
        <w:rPr>
          <w:rFonts w:cs="Times New Roman"/>
        </w:rPr>
        <w:t xml:space="preserve">, International Archives of the History of Ideas   Archives </w:t>
      </w:r>
      <w:proofErr w:type="spellStart"/>
      <w:r w:rsidR="003A0276" w:rsidRPr="003A0276">
        <w:rPr>
          <w:rFonts w:cs="Times New Roman"/>
        </w:rPr>
        <w:t>Internationales</w:t>
      </w:r>
      <w:proofErr w:type="spellEnd"/>
      <w:r w:rsidR="003A0276" w:rsidRPr="003A0276">
        <w:rPr>
          <w:rFonts w:cs="Times New Roman"/>
        </w:rPr>
        <w:t xml:space="preserve"> </w:t>
      </w:r>
      <w:proofErr w:type="spellStart"/>
      <w:r w:rsidR="003A0276" w:rsidRPr="003A0276">
        <w:rPr>
          <w:rFonts w:cs="Times New Roman"/>
        </w:rPr>
        <w:t>d’histoire</w:t>
      </w:r>
      <w:proofErr w:type="spellEnd"/>
      <w:r w:rsidR="003A0276" w:rsidRPr="003A0276">
        <w:rPr>
          <w:rFonts w:cs="Times New Roman"/>
        </w:rPr>
        <w:t xml:space="preserve"> Des </w:t>
      </w:r>
      <w:proofErr w:type="spellStart"/>
      <w:r w:rsidR="003A0276" w:rsidRPr="003A0276">
        <w:rPr>
          <w:rFonts w:cs="Times New Roman"/>
        </w:rPr>
        <w:t>Idées</w:t>
      </w:r>
      <w:proofErr w:type="spellEnd"/>
      <w:r w:rsidR="003A0276" w:rsidRPr="003A0276">
        <w:rPr>
          <w:rFonts w:cs="Times New Roman"/>
        </w:rPr>
        <w:t xml:space="preserve"> (</w:t>
      </w:r>
      <w:proofErr w:type="spellStart"/>
      <w:r w:rsidR="003A0276" w:rsidRPr="003A0276">
        <w:rPr>
          <w:rFonts w:cs="Times New Roman"/>
        </w:rPr>
        <w:t>Dodrecht</w:t>
      </w:r>
      <w:proofErr w:type="spellEnd"/>
      <w:r w:rsidR="003A0276" w:rsidRPr="003A0276">
        <w:rPr>
          <w:rFonts w:cs="Times New Roman"/>
        </w:rPr>
        <w:t xml:space="preserve">: Springer, 1999); Massimiliano </w:t>
      </w:r>
      <w:proofErr w:type="spellStart"/>
      <w:r w:rsidR="003A0276" w:rsidRPr="003A0276">
        <w:rPr>
          <w:rFonts w:cs="Times New Roman"/>
        </w:rPr>
        <w:t>Savini</w:t>
      </w:r>
      <w:proofErr w:type="spellEnd"/>
      <w:r w:rsidR="003A0276" w:rsidRPr="003A0276">
        <w:rPr>
          <w:rFonts w:cs="Times New Roman"/>
        </w:rPr>
        <w:t xml:space="preserve">, </w:t>
      </w:r>
      <w:r w:rsidR="003A0276" w:rsidRPr="003A0276">
        <w:rPr>
          <w:rFonts w:cs="Times New Roman"/>
          <w:i/>
          <w:iCs/>
        </w:rPr>
        <w:t xml:space="preserve">Johannes </w:t>
      </w:r>
      <w:proofErr w:type="spellStart"/>
      <w:r w:rsidR="003A0276" w:rsidRPr="003A0276">
        <w:rPr>
          <w:rFonts w:cs="Times New Roman"/>
          <w:i/>
          <w:iCs/>
        </w:rPr>
        <w:t>Clauberg</w:t>
      </w:r>
      <w:proofErr w:type="spellEnd"/>
      <w:r w:rsidR="003A0276" w:rsidRPr="003A0276">
        <w:rPr>
          <w:rFonts w:cs="Times New Roman"/>
          <w:i/>
          <w:iCs/>
        </w:rPr>
        <w:t xml:space="preserve">, </w:t>
      </w:r>
      <w:proofErr w:type="spellStart"/>
      <w:r w:rsidR="003A0276" w:rsidRPr="003A0276">
        <w:rPr>
          <w:rFonts w:cs="Times New Roman"/>
          <w:i/>
          <w:iCs/>
        </w:rPr>
        <w:t>Methodus</w:t>
      </w:r>
      <w:proofErr w:type="spellEnd"/>
      <w:r w:rsidR="003A0276" w:rsidRPr="003A0276">
        <w:rPr>
          <w:rFonts w:cs="Times New Roman"/>
          <w:i/>
          <w:iCs/>
        </w:rPr>
        <w:t xml:space="preserve"> </w:t>
      </w:r>
      <w:proofErr w:type="spellStart"/>
      <w:r w:rsidR="003A0276" w:rsidRPr="003A0276">
        <w:rPr>
          <w:rFonts w:cs="Times New Roman"/>
          <w:i/>
          <w:iCs/>
        </w:rPr>
        <w:t>cartesiana</w:t>
      </w:r>
      <w:proofErr w:type="spellEnd"/>
      <w:r w:rsidR="003A0276" w:rsidRPr="003A0276">
        <w:rPr>
          <w:rFonts w:cs="Times New Roman"/>
          <w:i/>
          <w:iCs/>
        </w:rPr>
        <w:t xml:space="preserve"> et </w:t>
      </w:r>
      <w:proofErr w:type="spellStart"/>
      <w:r w:rsidR="003A0276" w:rsidRPr="003A0276">
        <w:rPr>
          <w:rFonts w:cs="Times New Roman"/>
          <w:i/>
          <w:iCs/>
        </w:rPr>
        <w:t>ontologie</w:t>
      </w:r>
      <w:proofErr w:type="spellEnd"/>
      <w:r w:rsidR="003A0276" w:rsidRPr="003A0276">
        <w:rPr>
          <w:rFonts w:cs="Times New Roman"/>
        </w:rPr>
        <w:t xml:space="preserve"> (Paris: </w:t>
      </w:r>
      <w:proofErr w:type="spellStart"/>
      <w:r w:rsidR="003A0276" w:rsidRPr="003A0276">
        <w:rPr>
          <w:rFonts w:cs="Times New Roman"/>
        </w:rPr>
        <w:t>Vrin</w:t>
      </w:r>
      <w:proofErr w:type="spellEnd"/>
      <w:r w:rsidR="003A0276" w:rsidRPr="003A0276">
        <w:rPr>
          <w:rFonts w:cs="Times New Roman"/>
        </w:rPr>
        <w:t xml:space="preserve">, 2011); Alexander Douglas, </w:t>
      </w:r>
      <w:r w:rsidR="003A0276" w:rsidRPr="003A0276">
        <w:rPr>
          <w:rFonts w:cs="Times New Roman"/>
          <w:i/>
          <w:iCs/>
        </w:rPr>
        <w:t xml:space="preserve">Spinoza and Dutch </w:t>
      </w:r>
      <w:proofErr w:type="spellStart"/>
      <w:r w:rsidR="003A0276" w:rsidRPr="003A0276">
        <w:rPr>
          <w:rFonts w:cs="Times New Roman"/>
          <w:i/>
          <w:iCs/>
        </w:rPr>
        <w:t>Cartesianism</w:t>
      </w:r>
      <w:proofErr w:type="spellEnd"/>
      <w:r w:rsidR="003A0276" w:rsidRPr="003A0276">
        <w:rPr>
          <w:rFonts w:cs="Times New Roman"/>
          <w:i/>
          <w:iCs/>
        </w:rPr>
        <w:t>: Philosophy and Theology</w:t>
      </w:r>
      <w:r w:rsidR="003A0276" w:rsidRPr="003A0276">
        <w:rPr>
          <w:rFonts w:cs="Times New Roman"/>
        </w:rPr>
        <w:t xml:space="preserve"> (Oxford: Oxford University Press, 2015); Tad M. Schmaltz, “Spinoza and Descartes,” in </w:t>
      </w:r>
      <w:r w:rsidR="003A0276" w:rsidRPr="003A0276">
        <w:rPr>
          <w:rFonts w:cs="Times New Roman"/>
          <w:i/>
          <w:iCs/>
        </w:rPr>
        <w:t>The Oxford Handbook of Spinoza</w:t>
      </w:r>
      <w:r w:rsidR="003A0276" w:rsidRPr="003A0276">
        <w:rPr>
          <w:rFonts w:cs="Times New Roman"/>
        </w:rPr>
        <w:t>, ed. Michael Della Rocca (New York: Oxford University Press, 2017), 64–83.</w:t>
      </w:r>
    </w:p>
  </w:footnote>
  <w:footnote w:id="30">
    <w:p w14:paraId="14D48422" w14:textId="6DF31DB7" w:rsidR="007F70A7" w:rsidRPr="002E49F9" w:rsidRDefault="007F70A7" w:rsidP="007F70A7">
      <w:pPr>
        <w:pStyle w:val="FootnoteText"/>
      </w:pPr>
      <w:r w:rsidRPr="00C427DA">
        <w:rPr>
          <w:rStyle w:val="FootnoteReference"/>
        </w:rPr>
        <w:footnoteRef/>
      </w:r>
      <w:r w:rsidRPr="002E49F9">
        <w:t xml:space="preserve"> </w:t>
      </w:r>
      <w:r w:rsidR="003A0276" w:rsidRPr="003A0276">
        <w:rPr>
          <w:rFonts w:cs="Times New Roman"/>
        </w:rPr>
        <w:t xml:space="preserve">Jacob </w:t>
      </w:r>
      <w:proofErr w:type="spellStart"/>
      <w:r w:rsidR="003A0276" w:rsidRPr="003A0276">
        <w:rPr>
          <w:rFonts w:cs="Times New Roman"/>
        </w:rPr>
        <w:t>Freudenthal</w:t>
      </w:r>
      <w:proofErr w:type="spellEnd"/>
      <w:r w:rsidR="003A0276" w:rsidRPr="003A0276">
        <w:rPr>
          <w:rFonts w:cs="Times New Roman"/>
        </w:rPr>
        <w:t xml:space="preserve">, </w:t>
      </w:r>
      <w:r w:rsidR="003A0276" w:rsidRPr="003A0276">
        <w:rPr>
          <w:rFonts w:cs="Times New Roman"/>
          <w:i/>
          <w:iCs/>
        </w:rPr>
        <w:t xml:space="preserve">Die </w:t>
      </w:r>
      <w:proofErr w:type="spellStart"/>
      <w:r w:rsidR="003A0276" w:rsidRPr="003A0276">
        <w:rPr>
          <w:rFonts w:cs="Times New Roman"/>
          <w:i/>
          <w:iCs/>
        </w:rPr>
        <w:t>Lebensgeschichte</w:t>
      </w:r>
      <w:proofErr w:type="spellEnd"/>
      <w:r w:rsidR="003A0276" w:rsidRPr="003A0276">
        <w:rPr>
          <w:rFonts w:cs="Times New Roman"/>
          <w:i/>
          <w:iCs/>
        </w:rPr>
        <w:t xml:space="preserve"> Spinoza’s in </w:t>
      </w:r>
      <w:proofErr w:type="spellStart"/>
      <w:r w:rsidR="003A0276" w:rsidRPr="003A0276">
        <w:rPr>
          <w:rFonts w:cs="Times New Roman"/>
          <w:i/>
          <w:iCs/>
        </w:rPr>
        <w:t>Quellenschriften</w:t>
      </w:r>
      <w:proofErr w:type="spellEnd"/>
      <w:r w:rsidR="003A0276" w:rsidRPr="003A0276">
        <w:rPr>
          <w:rFonts w:cs="Times New Roman"/>
        </w:rPr>
        <w:t xml:space="preserve"> (Leipzig: Verlag von </w:t>
      </w:r>
      <w:proofErr w:type="spellStart"/>
      <w:r w:rsidR="003A0276" w:rsidRPr="003A0276">
        <w:rPr>
          <w:rFonts w:cs="Times New Roman"/>
        </w:rPr>
        <w:t>Veit</w:t>
      </w:r>
      <w:proofErr w:type="spellEnd"/>
      <w:r w:rsidR="003A0276" w:rsidRPr="003A0276">
        <w:rPr>
          <w:rFonts w:cs="Times New Roman"/>
        </w:rPr>
        <w:t>, 1899), 160–64.</w:t>
      </w:r>
    </w:p>
  </w:footnote>
  <w:footnote w:id="31">
    <w:p w14:paraId="37DDC73F" w14:textId="673F7D6A" w:rsidR="007F70A7" w:rsidRPr="002E49F9" w:rsidRDefault="007F70A7" w:rsidP="007F70A7">
      <w:pPr>
        <w:pStyle w:val="FootnoteText"/>
        <w:rPr>
          <w:lang w:val="en-US"/>
        </w:rPr>
      </w:pPr>
      <w:r w:rsidRPr="00C427DA">
        <w:rPr>
          <w:rStyle w:val="FootnoteReference"/>
        </w:rPr>
        <w:footnoteRef/>
      </w:r>
      <w:r w:rsidRPr="002E49F9">
        <w:t xml:space="preserve"> </w:t>
      </w:r>
      <w:r w:rsidR="003A0276" w:rsidRPr="003A0276">
        <w:rPr>
          <w:rFonts w:cs="Times New Roman"/>
        </w:rPr>
        <w:t xml:space="preserve">Johann </w:t>
      </w:r>
      <w:proofErr w:type="spellStart"/>
      <w:r w:rsidR="003A0276" w:rsidRPr="003A0276">
        <w:rPr>
          <w:rFonts w:cs="Times New Roman"/>
        </w:rPr>
        <w:t>Clauberg</w:t>
      </w:r>
      <w:proofErr w:type="spellEnd"/>
      <w:r w:rsidR="003A0276" w:rsidRPr="003A0276">
        <w:rPr>
          <w:rFonts w:cs="Times New Roman"/>
        </w:rPr>
        <w:t xml:space="preserve">, </w:t>
      </w:r>
      <w:r w:rsidR="003A0276" w:rsidRPr="003A0276">
        <w:rPr>
          <w:rFonts w:cs="Times New Roman"/>
          <w:i/>
          <w:iCs/>
        </w:rPr>
        <w:t xml:space="preserve">Opera Omnia </w:t>
      </w:r>
      <w:proofErr w:type="spellStart"/>
      <w:r w:rsidR="003A0276" w:rsidRPr="003A0276">
        <w:rPr>
          <w:rFonts w:cs="Times New Roman"/>
          <w:i/>
          <w:iCs/>
        </w:rPr>
        <w:t>Philosophica</w:t>
      </w:r>
      <w:proofErr w:type="spellEnd"/>
      <w:r w:rsidR="003A0276" w:rsidRPr="003A0276">
        <w:rPr>
          <w:rFonts w:cs="Times New Roman"/>
        </w:rPr>
        <w:t xml:space="preserve"> (Amsterdam: Olms, 1968), 2.790.</w:t>
      </w:r>
      <w:r w:rsidR="0099503A">
        <w:t xml:space="preserve"> Jean-Paul Sartre famously </w:t>
      </w:r>
      <w:proofErr w:type="gramStart"/>
      <w:r w:rsidR="0099503A">
        <w:t>reverse</w:t>
      </w:r>
      <w:proofErr w:type="gramEnd"/>
      <w:r w:rsidR="0099503A">
        <w:t xml:space="preserve"> this, asserting incoherently the priority of existence over essence, but this was perhaps more for effect than illumination: </w:t>
      </w:r>
      <w:r w:rsidR="003A0276" w:rsidRPr="003A0276">
        <w:rPr>
          <w:rFonts w:cs="Times New Roman"/>
        </w:rPr>
        <w:t xml:space="preserve">Jean-Paul Sartre, </w:t>
      </w:r>
      <w:r w:rsidR="003A0276" w:rsidRPr="003A0276">
        <w:rPr>
          <w:rFonts w:cs="Times New Roman"/>
          <w:i/>
          <w:iCs/>
        </w:rPr>
        <w:t>Existentialism Is a Humanism</w:t>
      </w:r>
      <w:r w:rsidR="003A0276" w:rsidRPr="003A0276">
        <w:rPr>
          <w:rFonts w:cs="Times New Roman"/>
        </w:rPr>
        <w:t>, trans. Carol Macomber (New Haven: Yale University Press, 2007), 22.</w:t>
      </w:r>
    </w:p>
  </w:footnote>
  <w:footnote w:id="32">
    <w:p w14:paraId="458C1390" w14:textId="16B968D3" w:rsidR="00D077D9" w:rsidRPr="000C5F3E" w:rsidRDefault="00D077D9" w:rsidP="00D077D9">
      <w:pPr>
        <w:pStyle w:val="FootnoteText"/>
        <w:rPr>
          <w:lang w:val="en-US"/>
        </w:rPr>
      </w:pPr>
      <w:r w:rsidRPr="006C277F">
        <w:rPr>
          <w:rStyle w:val="FootnoteReference"/>
        </w:rPr>
        <w:footnoteRef/>
      </w:r>
      <w:r>
        <w:t xml:space="preserve"> </w:t>
      </w:r>
      <w:proofErr w:type="spellStart"/>
      <w:r w:rsidR="003A0276" w:rsidRPr="003A0276">
        <w:rPr>
          <w:rFonts w:cs="Times New Roman"/>
        </w:rPr>
        <w:t>Eriugena</w:t>
      </w:r>
      <w:proofErr w:type="spellEnd"/>
      <w:r w:rsidR="003A0276" w:rsidRPr="003A0276">
        <w:rPr>
          <w:rFonts w:cs="Times New Roman"/>
        </w:rPr>
        <w:t xml:space="preserve">, </w:t>
      </w:r>
      <w:proofErr w:type="spellStart"/>
      <w:r w:rsidR="003A0276" w:rsidRPr="003A0276">
        <w:rPr>
          <w:rFonts w:cs="Times New Roman"/>
          <w:i/>
          <w:iCs/>
        </w:rPr>
        <w:t>Periphyseon</w:t>
      </w:r>
      <w:proofErr w:type="spellEnd"/>
      <w:r w:rsidR="003A0276" w:rsidRPr="003A0276">
        <w:rPr>
          <w:rFonts w:cs="Times New Roman"/>
        </w:rPr>
        <w:t>, 589B, 195.</w:t>
      </w:r>
    </w:p>
  </w:footnote>
  <w:footnote w:id="33">
    <w:p w14:paraId="52CEA6C9" w14:textId="24FCBA7F" w:rsidR="00044DC5" w:rsidRPr="00044DC5" w:rsidRDefault="00044DC5">
      <w:pPr>
        <w:pStyle w:val="FootnoteText"/>
        <w:rPr>
          <w:lang w:val="en-US"/>
        </w:rPr>
      </w:pPr>
      <w:r>
        <w:rPr>
          <w:rStyle w:val="FootnoteReference"/>
        </w:rPr>
        <w:footnoteRef/>
      </w:r>
      <w:r>
        <w:t xml:space="preserve"> </w:t>
      </w:r>
      <w:r w:rsidR="003A0276" w:rsidRPr="003A0276">
        <w:rPr>
          <w:rFonts w:cs="Times New Roman"/>
        </w:rPr>
        <w:t xml:space="preserve">Melamed, “Omnis </w:t>
      </w:r>
      <w:proofErr w:type="spellStart"/>
      <w:r w:rsidR="003A0276" w:rsidRPr="003A0276">
        <w:rPr>
          <w:rFonts w:cs="Times New Roman"/>
        </w:rPr>
        <w:t>Determinatio</w:t>
      </w:r>
      <w:proofErr w:type="spellEnd"/>
      <w:r w:rsidR="003A0276" w:rsidRPr="003A0276">
        <w:rPr>
          <w:rFonts w:cs="Times New Roman"/>
        </w:rPr>
        <w:t>.”</w:t>
      </w:r>
    </w:p>
  </w:footnote>
  <w:footnote w:id="34">
    <w:p w14:paraId="3B851112" w14:textId="3C78D86D" w:rsidR="00D077D9" w:rsidRPr="002E49F9" w:rsidRDefault="00D077D9" w:rsidP="00D077D9">
      <w:pPr>
        <w:pStyle w:val="FootnoteText"/>
        <w:rPr>
          <w:lang w:val="en-US"/>
        </w:rPr>
      </w:pPr>
      <w:r w:rsidRPr="006C277F">
        <w:rPr>
          <w:rStyle w:val="FootnoteReference"/>
        </w:rPr>
        <w:footnoteRef/>
      </w:r>
      <w:r w:rsidRPr="002E49F9">
        <w:t xml:space="preserve"> </w:t>
      </w:r>
      <w:r w:rsidR="003A0276">
        <w:rPr>
          <w:rFonts w:cs="Times New Roman"/>
        </w:rPr>
        <w:t>Melamed, 182.</w:t>
      </w:r>
    </w:p>
  </w:footnote>
  <w:footnote w:id="35">
    <w:p w14:paraId="682B9D6A" w14:textId="0590C308" w:rsidR="00D077D9" w:rsidRPr="002E49F9" w:rsidRDefault="00D077D9" w:rsidP="00D077D9">
      <w:pPr>
        <w:pStyle w:val="FootnoteText"/>
        <w:rPr>
          <w:lang w:val="en-US"/>
        </w:rPr>
      </w:pPr>
      <w:r w:rsidRPr="006C277F">
        <w:rPr>
          <w:rStyle w:val="FootnoteReference"/>
        </w:rPr>
        <w:footnoteRef/>
      </w:r>
      <w:r w:rsidRPr="002E49F9">
        <w:t xml:space="preserve"> </w:t>
      </w:r>
      <w:r w:rsidR="003A0276" w:rsidRPr="003A0276">
        <w:rPr>
          <w:rFonts w:cs="Times New Roman"/>
        </w:rPr>
        <w:t xml:space="preserve">Maria Rosa </w:t>
      </w:r>
      <w:proofErr w:type="spellStart"/>
      <w:r w:rsidR="003A0276" w:rsidRPr="003A0276">
        <w:rPr>
          <w:rFonts w:cs="Times New Roman"/>
        </w:rPr>
        <w:t>Antognazza</w:t>
      </w:r>
      <w:proofErr w:type="spellEnd"/>
      <w:r w:rsidR="003A0276" w:rsidRPr="003A0276">
        <w:rPr>
          <w:rFonts w:cs="Times New Roman"/>
        </w:rPr>
        <w:t xml:space="preserve">, “The </w:t>
      </w:r>
      <w:proofErr w:type="spellStart"/>
      <w:r w:rsidR="003A0276" w:rsidRPr="003A0276">
        <w:rPr>
          <w:rFonts w:cs="Times New Roman"/>
        </w:rPr>
        <w:t>Hypercategorematic</w:t>
      </w:r>
      <w:proofErr w:type="spellEnd"/>
      <w:r w:rsidR="003A0276" w:rsidRPr="003A0276">
        <w:rPr>
          <w:rFonts w:cs="Times New Roman"/>
        </w:rPr>
        <w:t xml:space="preserve"> Infinite,” </w:t>
      </w:r>
      <w:r w:rsidR="003A0276" w:rsidRPr="003A0276">
        <w:rPr>
          <w:rFonts w:cs="Times New Roman"/>
          <w:i/>
          <w:iCs/>
        </w:rPr>
        <w:t>The Leibniz Review</w:t>
      </w:r>
      <w:r w:rsidR="003A0276" w:rsidRPr="003A0276">
        <w:rPr>
          <w:rFonts w:cs="Times New Roman"/>
        </w:rPr>
        <w:t xml:space="preserve"> 25 (July 1, 2015): 20.</w:t>
      </w:r>
    </w:p>
  </w:footnote>
  <w:footnote w:id="36">
    <w:p w14:paraId="6C42DD79" w14:textId="4CC874C2" w:rsidR="00D077D9" w:rsidRPr="002E49F9" w:rsidRDefault="00D077D9" w:rsidP="00D077D9">
      <w:pPr>
        <w:pStyle w:val="FootnoteText"/>
        <w:rPr>
          <w:lang w:val="en-US"/>
        </w:rPr>
      </w:pPr>
      <w:r w:rsidRPr="006C277F">
        <w:rPr>
          <w:rStyle w:val="FootnoteReference"/>
        </w:rPr>
        <w:footnoteRef/>
      </w:r>
      <w:r w:rsidRPr="002E49F9">
        <w:t xml:space="preserve"> </w:t>
      </w:r>
      <w:proofErr w:type="spellStart"/>
      <w:r w:rsidR="003A0276" w:rsidRPr="003A0276">
        <w:rPr>
          <w:rFonts w:cs="Times New Roman"/>
        </w:rPr>
        <w:t>Antognazza</w:t>
      </w:r>
      <w:proofErr w:type="spellEnd"/>
      <w:r w:rsidR="003A0276" w:rsidRPr="003A0276">
        <w:rPr>
          <w:rFonts w:cs="Times New Roman"/>
        </w:rPr>
        <w:t>, 12–16.</w:t>
      </w:r>
    </w:p>
  </w:footnote>
  <w:footnote w:id="37">
    <w:p w14:paraId="246AB05B" w14:textId="18806FCD" w:rsidR="009D0C00" w:rsidRPr="009D0C00" w:rsidRDefault="009D0C00">
      <w:pPr>
        <w:pStyle w:val="FootnoteText"/>
      </w:pPr>
      <w:r>
        <w:rPr>
          <w:rStyle w:val="FootnoteReference"/>
        </w:rPr>
        <w:footnoteRef/>
      </w:r>
      <w:r>
        <w:t xml:space="preserve"> There remains the question of whether God is identical with all the attributes together or (violating the transitivity of identity) with each of them singly. A compelling argument for the former reading is given by Salgado </w:t>
      </w:r>
      <w:proofErr w:type="spellStart"/>
      <w:r>
        <w:t>Borge</w:t>
      </w:r>
      <w:proofErr w:type="spellEnd"/>
      <w:r w:rsidR="00194EA9">
        <w:t>, in unpublished work but with hints in</w:t>
      </w:r>
      <w:r>
        <w:t xml:space="preserve"> </w:t>
      </w:r>
      <w:r w:rsidR="003A0276" w:rsidRPr="003A0276">
        <w:rPr>
          <w:rFonts w:cs="Times New Roman"/>
        </w:rPr>
        <w:t xml:space="preserve">Antonio Salgado </w:t>
      </w:r>
      <w:proofErr w:type="spellStart"/>
      <w:r w:rsidR="003A0276" w:rsidRPr="003A0276">
        <w:rPr>
          <w:rFonts w:cs="Times New Roman"/>
        </w:rPr>
        <w:t>Borge</w:t>
      </w:r>
      <w:proofErr w:type="spellEnd"/>
      <w:r w:rsidR="003A0276" w:rsidRPr="003A0276">
        <w:rPr>
          <w:rFonts w:cs="Times New Roman"/>
        </w:rPr>
        <w:t xml:space="preserve">, “Spinoza on Essence Constitution,” </w:t>
      </w:r>
      <w:r w:rsidR="003A0276" w:rsidRPr="003A0276">
        <w:rPr>
          <w:rFonts w:cs="Times New Roman"/>
          <w:i/>
          <w:iCs/>
        </w:rPr>
        <w:t>Philosophia</w:t>
      </w:r>
      <w:r w:rsidR="003A0276" w:rsidRPr="003A0276">
        <w:rPr>
          <w:rFonts w:cs="Times New Roman"/>
        </w:rPr>
        <w:t>, 2022.</w:t>
      </w:r>
    </w:p>
  </w:footnote>
  <w:footnote w:id="38">
    <w:p w14:paraId="66F4F1FE" w14:textId="5BF547C8" w:rsidR="005A12B9" w:rsidRPr="005A12B9" w:rsidRDefault="005A12B9">
      <w:pPr>
        <w:pStyle w:val="FootnoteText"/>
        <w:rPr>
          <w:lang w:val="en-US"/>
        </w:rPr>
      </w:pPr>
      <w:r>
        <w:rPr>
          <w:rStyle w:val="FootnoteReference"/>
        </w:rPr>
        <w:footnoteRef/>
      </w:r>
      <w:r>
        <w:t xml:space="preserve"> See, e.g., </w:t>
      </w:r>
      <w:r w:rsidR="003A0276" w:rsidRPr="003A0276">
        <w:rPr>
          <w:rFonts w:cs="Times New Roman"/>
        </w:rPr>
        <w:t xml:space="preserve">Deleuze, </w:t>
      </w:r>
      <w:r w:rsidR="003A0276" w:rsidRPr="003A0276">
        <w:rPr>
          <w:rFonts w:cs="Times New Roman"/>
          <w:i/>
          <w:iCs/>
        </w:rPr>
        <w:t>Expressionism in Philosophy</w:t>
      </w:r>
      <w:r w:rsidR="003A0276" w:rsidRPr="003A0276">
        <w:rPr>
          <w:rFonts w:cs="Times New Roman"/>
        </w:rPr>
        <w:t>, 60.</w:t>
      </w:r>
    </w:p>
  </w:footnote>
  <w:footnote w:id="39">
    <w:p w14:paraId="20C03834" w14:textId="2AC71924" w:rsidR="00717260" w:rsidRDefault="00CC3F7A">
      <w:pPr>
        <w:pStyle w:val="FootnoteText"/>
        <w:rPr>
          <w:lang w:val="en-US"/>
        </w:rPr>
      </w:pPr>
      <w:r>
        <w:rPr>
          <w:rStyle w:val="FootnoteReference"/>
        </w:rPr>
        <w:footnoteRef/>
      </w:r>
      <w:r>
        <w:t xml:space="preserve"> </w:t>
      </w:r>
      <w:r>
        <w:rPr>
          <w:lang w:val="en-US"/>
        </w:rPr>
        <w:t xml:space="preserve">We </w:t>
      </w:r>
      <w:proofErr w:type="spellStart"/>
      <w:r>
        <w:rPr>
          <w:lang w:val="en-US"/>
        </w:rPr>
        <w:t>can</w:t>
      </w:r>
      <w:r w:rsidR="00A749F9">
        <w:rPr>
          <w:lang w:val="en-US"/>
        </w:rPr>
        <w:t>”</w:t>
      </w:r>
      <w:r>
        <w:rPr>
          <w:lang w:val="en-US"/>
        </w:rPr>
        <w:t>t</w:t>
      </w:r>
      <w:proofErr w:type="spellEnd"/>
      <w:r>
        <w:rPr>
          <w:lang w:val="en-US"/>
        </w:rPr>
        <w:t xml:space="preserve"> easily </w:t>
      </w:r>
      <w:proofErr w:type="gramStart"/>
      <w:r>
        <w:rPr>
          <w:lang w:val="en-US"/>
        </w:rPr>
        <w:t>say</w:t>
      </w:r>
      <w:proofErr w:type="gramEnd"/>
      <w:r>
        <w:rPr>
          <w:lang w:val="en-US"/>
        </w:rPr>
        <w:t xml:space="preserve"> that </w:t>
      </w:r>
      <w:r w:rsidR="00194EA9">
        <w:rPr>
          <w:lang w:val="en-US"/>
        </w:rPr>
        <w:t>only</w:t>
      </w:r>
      <w:r>
        <w:rPr>
          <w:lang w:val="en-US"/>
        </w:rPr>
        <w:t xml:space="preserve"> a </w:t>
      </w:r>
      <w:r>
        <w:rPr>
          <w:i/>
          <w:iCs/>
          <w:lang w:val="en-US"/>
        </w:rPr>
        <w:t>part</w:t>
      </w:r>
      <w:r>
        <w:rPr>
          <w:lang w:val="en-US"/>
        </w:rPr>
        <w:t xml:space="preserve"> of God </w:t>
      </w:r>
      <w:r w:rsidR="00194EA9">
        <w:rPr>
          <w:lang w:val="en-US"/>
        </w:rPr>
        <w:t>loves yum cha, and another part does not. For one thing,</w:t>
      </w:r>
      <w:r w:rsidR="00B66AF7">
        <w:rPr>
          <w:lang w:val="en-US"/>
        </w:rPr>
        <w:t xml:space="preserve"> Spinoza appears to deny that an infinite substance such as God can have any parts (E 1p13s</w:t>
      </w:r>
      <w:r w:rsidR="00717260">
        <w:rPr>
          <w:lang w:val="en-US"/>
        </w:rPr>
        <w:t>, 1p15s</w:t>
      </w:r>
      <w:r w:rsidR="00B66AF7">
        <w:rPr>
          <w:lang w:val="en-US"/>
        </w:rPr>
        <w:t>)</w:t>
      </w:r>
      <w:r w:rsidR="00194EA9">
        <w:rPr>
          <w:lang w:val="en-US"/>
        </w:rPr>
        <w:t xml:space="preserve">. On this see: </w:t>
      </w:r>
      <w:proofErr w:type="spellStart"/>
      <w:r w:rsidR="003A0276" w:rsidRPr="003A0276">
        <w:rPr>
          <w:rFonts w:cs="Times New Roman"/>
        </w:rPr>
        <w:t>Ghislain</w:t>
      </w:r>
      <w:proofErr w:type="spellEnd"/>
      <w:r w:rsidR="003A0276" w:rsidRPr="003A0276">
        <w:rPr>
          <w:rFonts w:cs="Times New Roman"/>
        </w:rPr>
        <w:t xml:space="preserve"> </w:t>
      </w:r>
      <w:proofErr w:type="spellStart"/>
      <w:r w:rsidR="003A0276" w:rsidRPr="003A0276">
        <w:rPr>
          <w:rFonts w:cs="Times New Roman"/>
        </w:rPr>
        <w:t>Guigon</w:t>
      </w:r>
      <w:proofErr w:type="spellEnd"/>
      <w:r w:rsidR="003A0276" w:rsidRPr="003A0276">
        <w:rPr>
          <w:rFonts w:cs="Times New Roman"/>
        </w:rPr>
        <w:t xml:space="preserve">, “Spinoza on Composition and Priority,” in </w:t>
      </w:r>
      <w:r w:rsidR="003A0276" w:rsidRPr="003A0276">
        <w:rPr>
          <w:rFonts w:cs="Times New Roman"/>
          <w:i/>
          <w:iCs/>
        </w:rPr>
        <w:t>Spinoza on Monism</w:t>
      </w:r>
      <w:r w:rsidR="003A0276" w:rsidRPr="003A0276">
        <w:rPr>
          <w:rFonts w:cs="Times New Roman"/>
        </w:rPr>
        <w:t>, ed. Philip Goff (</w:t>
      </w:r>
      <w:proofErr w:type="spellStart"/>
      <w:r w:rsidR="003A0276" w:rsidRPr="003A0276">
        <w:rPr>
          <w:rFonts w:cs="Times New Roman"/>
        </w:rPr>
        <w:t>Houndmills</w:t>
      </w:r>
      <w:proofErr w:type="spellEnd"/>
      <w:r w:rsidR="003A0276" w:rsidRPr="003A0276">
        <w:rPr>
          <w:rFonts w:cs="Times New Roman"/>
        </w:rPr>
        <w:t xml:space="preserve">: Palgrave, 2011), 183–205; Yitzhak Melamed, </w:t>
      </w:r>
      <w:r w:rsidR="003A0276" w:rsidRPr="003A0276">
        <w:rPr>
          <w:rFonts w:cs="Times New Roman"/>
          <w:i/>
          <w:iCs/>
        </w:rPr>
        <w:t>Spinoza’s Metaphysics: Substance and Thought</w:t>
      </w:r>
      <w:r w:rsidR="003A0276" w:rsidRPr="003A0276">
        <w:rPr>
          <w:rFonts w:cs="Times New Roman"/>
        </w:rPr>
        <w:t xml:space="preserve"> (New York: Oxford University Press, 2013), 47–48; Alison Peterman, “Spinoza on Extension,” </w:t>
      </w:r>
      <w:r w:rsidR="003A0276" w:rsidRPr="003A0276">
        <w:rPr>
          <w:rFonts w:cs="Times New Roman"/>
          <w:i/>
          <w:iCs/>
        </w:rPr>
        <w:t>Philosophers’ Imprint</w:t>
      </w:r>
      <w:r w:rsidR="003A0276" w:rsidRPr="003A0276">
        <w:rPr>
          <w:rFonts w:cs="Times New Roman"/>
        </w:rPr>
        <w:t xml:space="preserve"> 15, no. 14 (2015).</w:t>
      </w:r>
      <w:r w:rsidR="00717260">
        <w:rPr>
          <w:lang w:val="en-US"/>
        </w:rPr>
        <w:t xml:space="preserve">  </w:t>
      </w:r>
    </w:p>
    <w:p w14:paraId="6B068F73" w14:textId="6C5C87BB" w:rsidR="00717260" w:rsidRPr="00717260" w:rsidRDefault="00717260">
      <w:pPr>
        <w:pStyle w:val="FootnoteText"/>
        <w:rPr>
          <w:lang w:val="en-US"/>
        </w:rPr>
      </w:pPr>
      <w:r>
        <w:rPr>
          <w:lang w:val="en-US"/>
        </w:rPr>
        <w:t xml:space="preserve">Salgado </w:t>
      </w:r>
      <w:proofErr w:type="spellStart"/>
      <w:r>
        <w:rPr>
          <w:lang w:val="en-US"/>
        </w:rPr>
        <w:t>Borge</w:t>
      </w:r>
      <w:proofErr w:type="spellEnd"/>
      <w:r>
        <w:rPr>
          <w:lang w:val="en-US"/>
        </w:rPr>
        <w:t xml:space="preserve"> proposes that the attributes </w:t>
      </w:r>
      <w:r w:rsidR="001260FD">
        <w:rPr>
          <w:lang w:val="en-US"/>
        </w:rPr>
        <w:t>can</w:t>
      </w:r>
      <w:r>
        <w:rPr>
          <w:lang w:val="en-US"/>
        </w:rPr>
        <w:t xml:space="preserve"> be </w:t>
      </w:r>
      <w:r w:rsidRPr="00717260">
        <w:rPr>
          <w:i/>
          <w:iCs/>
          <w:lang w:val="en-US"/>
        </w:rPr>
        <w:t>essential parts</w:t>
      </w:r>
      <w:r>
        <w:rPr>
          <w:lang w:val="en-US"/>
        </w:rPr>
        <w:t xml:space="preserve"> of God – a type of parthood that Spinoza doesn</w:t>
      </w:r>
      <w:r w:rsidR="00BF11E6">
        <w:rPr>
          <w:lang w:val="en-US"/>
        </w:rPr>
        <w:t>’</w:t>
      </w:r>
      <w:r>
        <w:rPr>
          <w:lang w:val="en-US"/>
        </w:rPr>
        <w:t>t rule out. But</w:t>
      </w:r>
      <w:r w:rsidR="001260FD">
        <w:rPr>
          <w:lang w:val="en-US"/>
        </w:rPr>
        <w:t xml:space="preserve"> modes are not essential to God (this at least seems the gist of E 1p1), so Salgado </w:t>
      </w:r>
      <w:proofErr w:type="spellStart"/>
      <w:r w:rsidR="001260FD">
        <w:rPr>
          <w:lang w:val="en-US"/>
        </w:rPr>
        <w:t>Borg</w:t>
      </w:r>
      <w:r w:rsidR="00BF11E6">
        <w:rPr>
          <w:lang w:val="en-US"/>
        </w:rPr>
        <w:t>e’</w:t>
      </w:r>
      <w:r w:rsidR="001260FD">
        <w:rPr>
          <w:lang w:val="en-US"/>
        </w:rPr>
        <w:t>s</w:t>
      </w:r>
      <w:proofErr w:type="spellEnd"/>
      <w:r w:rsidR="001260FD">
        <w:rPr>
          <w:lang w:val="en-US"/>
        </w:rPr>
        <w:t xml:space="preserve"> strategy </w:t>
      </w:r>
      <w:proofErr w:type="spellStart"/>
      <w:r w:rsidR="001260FD">
        <w:rPr>
          <w:lang w:val="en-US"/>
        </w:rPr>
        <w:t>can</w:t>
      </w:r>
      <w:r w:rsidR="00A749F9">
        <w:rPr>
          <w:lang w:val="en-US"/>
        </w:rPr>
        <w:t>”</w:t>
      </w:r>
      <w:r w:rsidR="001260FD">
        <w:rPr>
          <w:lang w:val="en-US"/>
        </w:rPr>
        <w:t>t</w:t>
      </w:r>
      <w:proofErr w:type="spellEnd"/>
      <w:r w:rsidR="001260FD">
        <w:rPr>
          <w:lang w:val="en-US"/>
        </w:rPr>
        <w:t xml:space="preserve"> be applied to them</w:t>
      </w:r>
      <w:r w:rsidR="00C763BF">
        <w:rPr>
          <w:lang w:val="en-US"/>
        </w:rPr>
        <w:t xml:space="preserve">. Even if it could, </w:t>
      </w:r>
      <w:r w:rsidR="0079698F">
        <w:rPr>
          <w:lang w:val="en-US"/>
        </w:rPr>
        <w:t xml:space="preserve">for God to have essential parts that were </w:t>
      </w:r>
      <w:r w:rsidR="0079698F" w:rsidRPr="0079698F">
        <w:rPr>
          <w:i/>
          <w:iCs/>
          <w:lang w:val="en-US"/>
        </w:rPr>
        <w:t>opposed</w:t>
      </w:r>
      <w:r w:rsidR="0079698F">
        <w:rPr>
          <w:lang w:val="en-US"/>
        </w:rPr>
        <w:t xml:space="preserve"> and not merely diverse would seem to violate E 3p6.</w:t>
      </w:r>
      <w:r w:rsidR="00C763BF">
        <w:rPr>
          <w:lang w:val="en-US"/>
        </w:rPr>
        <w:t xml:space="preserve"> </w:t>
      </w:r>
      <w:r w:rsidR="001260FD">
        <w:rPr>
          <w:lang w:val="en-US"/>
        </w:rPr>
        <w:t xml:space="preserve">Again, </w:t>
      </w:r>
      <w:r w:rsidR="0079698F">
        <w:rPr>
          <w:lang w:val="en-US"/>
        </w:rPr>
        <w:t xml:space="preserve">Salgado </w:t>
      </w:r>
      <w:proofErr w:type="spellStart"/>
      <w:proofErr w:type="gramStart"/>
      <w:r w:rsidR="0079698F">
        <w:rPr>
          <w:lang w:val="en-US"/>
        </w:rPr>
        <w:t>Borge</w:t>
      </w:r>
      <w:r w:rsidR="00A749F9">
        <w:rPr>
          <w:lang w:val="en-US"/>
        </w:rPr>
        <w:t>”</w:t>
      </w:r>
      <w:r w:rsidR="0079698F">
        <w:rPr>
          <w:lang w:val="en-US"/>
        </w:rPr>
        <w:t>s</w:t>
      </w:r>
      <w:proofErr w:type="spellEnd"/>
      <w:proofErr w:type="gramEnd"/>
      <w:r w:rsidR="0079698F">
        <w:rPr>
          <w:lang w:val="en-US"/>
        </w:rPr>
        <w:t xml:space="preserve"> proposal</w:t>
      </w:r>
      <w:r w:rsidR="001260FD">
        <w:rPr>
          <w:lang w:val="en-US"/>
        </w:rPr>
        <w:t xml:space="preserve"> is unpublished work, but hints </w:t>
      </w:r>
      <w:r w:rsidR="0079698F">
        <w:rPr>
          <w:lang w:val="en-US"/>
        </w:rPr>
        <w:t xml:space="preserve">are found </w:t>
      </w:r>
      <w:r w:rsidR="001260FD">
        <w:rPr>
          <w:lang w:val="en-US"/>
        </w:rPr>
        <w:t xml:space="preserve">in </w:t>
      </w:r>
      <w:r w:rsidR="003A0276" w:rsidRPr="003A0276">
        <w:rPr>
          <w:rFonts w:cs="Times New Roman"/>
        </w:rPr>
        <w:t xml:space="preserve">Salgado </w:t>
      </w:r>
      <w:proofErr w:type="spellStart"/>
      <w:r w:rsidR="003A0276" w:rsidRPr="003A0276">
        <w:rPr>
          <w:rFonts w:cs="Times New Roman"/>
        </w:rPr>
        <w:t>Borge</w:t>
      </w:r>
      <w:proofErr w:type="spellEnd"/>
      <w:r w:rsidR="003A0276" w:rsidRPr="003A0276">
        <w:rPr>
          <w:rFonts w:cs="Times New Roman"/>
        </w:rPr>
        <w:t>, “Spinoza on Essence Constitution.”</w:t>
      </w:r>
    </w:p>
  </w:footnote>
  <w:footnote w:id="40">
    <w:p w14:paraId="33AB4C8E" w14:textId="60EEC7BB" w:rsidR="0010123E" w:rsidRPr="002E49F9" w:rsidRDefault="0010123E" w:rsidP="0010123E">
      <w:pPr>
        <w:pStyle w:val="FootnoteText"/>
        <w:rPr>
          <w:lang w:val="en-US"/>
        </w:rPr>
      </w:pPr>
      <w:r w:rsidRPr="006C277F">
        <w:rPr>
          <w:rStyle w:val="FootnoteReference"/>
        </w:rPr>
        <w:footnoteRef/>
      </w:r>
      <w:r w:rsidRPr="002E49F9">
        <w:t xml:space="preserve"> </w:t>
      </w:r>
      <w:r w:rsidR="003A0276" w:rsidRPr="003A0276">
        <w:rPr>
          <w:rFonts w:cs="Times New Roman"/>
        </w:rPr>
        <w:t xml:space="preserve">Pierre Bayle, </w:t>
      </w:r>
      <w:proofErr w:type="spellStart"/>
      <w:r w:rsidR="003A0276" w:rsidRPr="003A0276">
        <w:rPr>
          <w:rFonts w:cs="Times New Roman"/>
          <w:i/>
          <w:iCs/>
        </w:rPr>
        <w:t>Dictionnaire</w:t>
      </w:r>
      <w:proofErr w:type="spellEnd"/>
      <w:r w:rsidR="003A0276" w:rsidRPr="003A0276">
        <w:rPr>
          <w:rFonts w:cs="Times New Roman"/>
          <w:i/>
          <w:iCs/>
        </w:rPr>
        <w:t xml:space="preserve"> </w:t>
      </w:r>
      <w:proofErr w:type="spellStart"/>
      <w:r w:rsidR="003A0276" w:rsidRPr="003A0276">
        <w:rPr>
          <w:rFonts w:cs="Times New Roman"/>
          <w:i/>
          <w:iCs/>
        </w:rPr>
        <w:t>Historique</w:t>
      </w:r>
      <w:proofErr w:type="spellEnd"/>
      <w:r w:rsidR="003A0276" w:rsidRPr="003A0276">
        <w:rPr>
          <w:rFonts w:cs="Times New Roman"/>
          <w:i/>
          <w:iCs/>
        </w:rPr>
        <w:t xml:space="preserve"> Et Critique</w:t>
      </w:r>
      <w:r w:rsidR="003A0276" w:rsidRPr="003A0276">
        <w:rPr>
          <w:rFonts w:cs="Times New Roman"/>
        </w:rPr>
        <w:t xml:space="preserve"> (Amsterdam: </w:t>
      </w:r>
      <w:proofErr w:type="spellStart"/>
      <w:r w:rsidR="003A0276" w:rsidRPr="003A0276">
        <w:rPr>
          <w:rFonts w:cs="Times New Roman"/>
        </w:rPr>
        <w:t>Reinier</w:t>
      </w:r>
      <w:proofErr w:type="spellEnd"/>
      <w:r w:rsidR="003A0276" w:rsidRPr="003A0276">
        <w:rPr>
          <w:rFonts w:cs="Times New Roman"/>
        </w:rPr>
        <w:t xml:space="preserve"> Leers, 1740), 3.259; 'Spinoza', remark N.</w:t>
      </w:r>
      <w:r>
        <w:t xml:space="preserve"> </w:t>
      </w:r>
    </w:p>
  </w:footnote>
  <w:footnote w:id="41">
    <w:p w14:paraId="382EA5C2" w14:textId="6063F8B3" w:rsidR="0010123E" w:rsidRPr="002E49F9" w:rsidRDefault="0010123E" w:rsidP="0010123E">
      <w:pPr>
        <w:pStyle w:val="FootnoteText"/>
        <w:rPr>
          <w:lang w:val="en-US"/>
        </w:rPr>
      </w:pPr>
      <w:r w:rsidRPr="00437B07">
        <w:rPr>
          <w:rStyle w:val="FootnoteReference"/>
        </w:rPr>
        <w:footnoteRef/>
      </w:r>
      <w:r w:rsidRPr="002E49F9">
        <w:t xml:space="preserve"> </w:t>
      </w:r>
      <w:r w:rsidR="003A0276" w:rsidRPr="003A0276">
        <w:rPr>
          <w:rFonts w:cs="Times New Roman"/>
        </w:rPr>
        <w:t xml:space="preserve">Deleuze, </w:t>
      </w:r>
      <w:r w:rsidR="003A0276" w:rsidRPr="003A0276">
        <w:rPr>
          <w:rFonts w:cs="Times New Roman"/>
          <w:i/>
          <w:iCs/>
        </w:rPr>
        <w:t>Expressionism in Philosophy</w:t>
      </w:r>
      <w:r w:rsidR="003A0276" w:rsidRPr="003A0276">
        <w:rPr>
          <w:rFonts w:cs="Times New Roman"/>
        </w:rPr>
        <w:t>, 31, 34.</w:t>
      </w:r>
    </w:p>
  </w:footnote>
  <w:footnote w:id="42">
    <w:p w14:paraId="7099DF56" w14:textId="59AC2E8E" w:rsidR="0010123E" w:rsidRPr="005F7ECA" w:rsidRDefault="0010123E" w:rsidP="0010123E">
      <w:pPr>
        <w:pStyle w:val="FootnoteText"/>
        <w:rPr>
          <w:lang w:val="en-US"/>
        </w:rPr>
      </w:pPr>
      <w:r w:rsidRPr="00437B07">
        <w:rPr>
          <w:rStyle w:val="FootnoteReference"/>
        </w:rPr>
        <w:footnoteRef/>
      </w:r>
      <w:r>
        <w:t xml:space="preserve"> </w:t>
      </w:r>
      <w:r w:rsidR="003A0276" w:rsidRPr="003A0276">
        <w:rPr>
          <w:rFonts w:cs="Times New Roman"/>
        </w:rPr>
        <w:t xml:space="preserve">Donald Baxter, “The Discernibility of </w:t>
      </w:r>
      <w:proofErr w:type="spellStart"/>
      <w:r w:rsidR="003A0276" w:rsidRPr="003A0276">
        <w:rPr>
          <w:rFonts w:cs="Times New Roman"/>
        </w:rPr>
        <w:t>Identicals</w:t>
      </w:r>
      <w:proofErr w:type="spellEnd"/>
      <w:r w:rsidR="003A0276" w:rsidRPr="003A0276">
        <w:rPr>
          <w:rFonts w:cs="Times New Roman"/>
        </w:rPr>
        <w:t xml:space="preserve">,” </w:t>
      </w:r>
      <w:r w:rsidR="003A0276" w:rsidRPr="003A0276">
        <w:rPr>
          <w:rFonts w:cs="Times New Roman"/>
          <w:i/>
          <w:iCs/>
        </w:rPr>
        <w:t>Journal of Philosophical Research</w:t>
      </w:r>
      <w:r w:rsidR="003A0276" w:rsidRPr="003A0276">
        <w:rPr>
          <w:rFonts w:cs="Times New Roman"/>
        </w:rPr>
        <w:t xml:space="preserve"> 24 (1999): 37–55; Donald Baxter, “Self-Differing, Aspects, and Leibniz’s Law,” </w:t>
      </w:r>
      <w:proofErr w:type="spellStart"/>
      <w:r w:rsidR="003A0276" w:rsidRPr="003A0276">
        <w:rPr>
          <w:rFonts w:cs="Times New Roman"/>
          <w:i/>
          <w:iCs/>
        </w:rPr>
        <w:t>Noûs</w:t>
      </w:r>
      <w:proofErr w:type="spellEnd"/>
      <w:r w:rsidR="003A0276" w:rsidRPr="003A0276">
        <w:rPr>
          <w:rFonts w:cs="Times New Roman"/>
        </w:rPr>
        <w:t xml:space="preserve">, 2017, 1–21; Donald Baxter, “Oneness, Aspects, and the Neo-Confucians,” in </w:t>
      </w:r>
      <w:r w:rsidR="003A0276" w:rsidRPr="003A0276">
        <w:rPr>
          <w:rFonts w:cs="Times New Roman"/>
          <w:i/>
          <w:iCs/>
        </w:rPr>
        <w:t>The Oneness Hypothesis: Beyond the Boundary of Self</w:t>
      </w:r>
      <w:r w:rsidR="003A0276" w:rsidRPr="003A0276">
        <w:rPr>
          <w:rFonts w:cs="Times New Roman"/>
        </w:rPr>
        <w:t>, ed. Philip Ivanhoe et al. (New York: Columbia University Press, 2018), 90–105.</w:t>
      </w:r>
    </w:p>
  </w:footnote>
  <w:footnote w:id="43">
    <w:p w14:paraId="392D19C3" w14:textId="18B15E03" w:rsidR="00CD501B" w:rsidRPr="002E49F9" w:rsidRDefault="00CD501B" w:rsidP="00CD501B">
      <w:pPr>
        <w:pStyle w:val="FootnoteText"/>
        <w:rPr>
          <w:lang w:val="en-US"/>
        </w:rPr>
      </w:pPr>
      <w:r w:rsidRPr="006C277F">
        <w:rPr>
          <w:rStyle w:val="FootnoteReference"/>
        </w:rPr>
        <w:footnoteRef/>
      </w:r>
      <w:r w:rsidRPr="002E49F9">
        <w:t xml:space="preserve"> </w:t>
      </w:r>
      <w:r>
        <w:t>I</w:t>
      </w:r>
      <w:r w:rsidR="00421210">
        <w:t>’</w:t>
      </w:r>
      <w:r>
        <w:t xml:space="preserve">m not the first to propose a parallel between </w:t>
      </w:r>
      <w:r w:rsidR="00A749F9">
        <w:t xml:space="preserve">Spinoza’s </w:t>
      </w:r>
      <w:r>
        <w:t xml:space="preserve">thought and Sufi ideas; see, e.g.: </w:t>
      </w:r>
      <w:proofErr w:type="spellStart"/>
      <w:r w:rsidR="003A0276" w:rsidRPr="003A0276">
        <w:rPr>
          <w:rFonts w:cs="Times New Roman"/>
        </w:rPr>
        <w:t>Ezgi</w:t>
      </w:r>
      <w:proofErr w:type="spellEnd"/>
      <w:r w:rsidR="003A0276" w:rsidRPr="003A0276">
        <w:rPr>
          <w:rFonts w:cs="Times New Roman"/>
        </w:rPr>
        <w:t xml:space="preserve"> </w:t>
      </w:r>
      <w:proofErr w:type="spellStart"/>
      <w:r w:rsidR="003A0276" w:rsidRPr="003A0276">
        <w:rPr>
          <w:rFonts w:cs="Times New Roman"/>
        </w:rPr>
        <w:t>Ulusoy</w:t>
      </w:r>
      <w:proofErr w:type="spellEnd"/>
      <w:r w:rsidR="003A0276" w:rsidRPr="003A0276">
        <w:rPr>
          <w:rFonts w:cs="Times New Roman"/>
        </w:rPr>
        <w:t xml:space="preserve"> </w:t>
      </w:r>
      <w:proofErr w:type="spellStart"/>
      <w:r w:rsidR="003A0276" w:rsidRPr="003A0276">
        <w:rPr>
          <w:rFonts w:cs="Times New Roman"/>
        </w:rPr>
        <w:t>Aranyosi</w:t>
      </w:r>
      <w:proofErr w:type="spellEnd"/>
      <w:r w:rsidR="003A0276" w:rsidRPr="003A0276">
        <w:rPr>
          <w:rFonts w:cs="Times New Roman"/>
        </w:rPr>
        <w:t xml:space="preserve">, “An Enquiry into Sufi Metaphysics,” </w:t>
      </w:r>
      <w:r w:rsidR="003A0276" w:rsidRPr="003A0276">
        <w:rPr>
          <w:rFonts w:cs="Times New Roman"/>
          <w:i/>
          <w:iCs/>
        </w:rPr>
        <w:t>British Journal for the History of Philosophy</w:t>
      </w:r>
      <w:r w:rsidR="003A0276" w:rsidRPr="003A0276">
        <w:rPr>
          <w:rFonts w:cs="Times New Roman"/>
        </w:rPr>
        <w:t xml:space="preserve"> 20, no. 1 (January 1, 2012): 3–22; Muhammad Kamal, “Ibn ‘Arabi and Spinoza on God and the World,” </w:t>
      </w:r>
      <w:r w:rsidR="003A0276" w:rsidRPr="003A0276">
        <w:rPr>
          <w:rFonts w:cs="Times New Roman"/>
          <w:i/>
          <w:iCs/>
        </w:rPr>
        <w:t>Open Journal of Philosophy</w:t>
      </w:r>
      <w:r w:rsidR="003A0276" w:rsidRPr="003A0276">
        <w:rPr>
          <w:rFonts w:cs="Times New Roman"/>
        </w:rPr>
        <w:t xml:space="preserve"> 7, no. 4 (September 15, 2017): 409–21.</w:t>
      </w:r>
    </w:p>
  </w:footnote>
  <w:footnote w:id="44">
    <w:p w14:paraId="0FEC0355" w14:textId="57733690" w:rsidR="00CD501B" w:rsidRPr="00B441F4" w:rsidRDefault="00CD501B" w:rsidP="00CD501B">
      <w:pPr>
        <w:pStyle w:val="FootnoteText"/>
        <w:rPr>
          <w:lang w:val="en-US"/>
        </w:rPr>
      </w:pPr>
      <w:r w:rsidRPr="005F3607">
        <w:rPr>
          <w:rStyle w:val="FootnoteReference"/>
        </w:rPr>
        <w:footnoteRef/>
      </w:r>
      <w:r w:rsidRPr="00B441F4">
        <w:t xml:space="preserve"> </w:t>
      </w:r>
      <w:r w:rsidR="003A0276" w:rsidRPr="003A0276">
        <w:rPr>
          <w:rFonts w:cs="Times New Roman"/>
        </w:rPr>
        <w:t xml:space="preserve">Toshihiko </w:t>
      </w:r>
      <w:proofErr w:type="spellStart"/>
      <w:r w:rsidR="003A0276" w:rsidRPr="003A0276">
        <w:rPr>
          <w:rFonts w:cs="Times New Roman"/>
        </w:rPr>
        <w:t>Izutsu</w:t>
      </w:r>
      <w:proofErr w:type="spellEnd"/>
      <w:r w:rsidR="003A0276" w:rsidRPr="003A0276">
        <w:rPr>
          <w:rFonts w:cs="Times New Roman"/>
        </w:rPr>
        <w:t xml:space="preserve">, </w:t>
      </w:r>
      <w:r w:rsidR="003A0276" w:rsidRPr="003A0276">
        <w:rPr>
          <w:rFonts w:cs="Times New Roman"/>
          <w:i/>
          <w:iCs/>
        </w:rPr>
        <w:t>Sufism and Taoism: A Comparative Study of Key Philosophical Concepts</w:t>
      </w:r>
      <w:r w:rsidR="003A0276" w:rsidRPr="003A0276">
        <w:rPr>
          <w:rFonts w:cs="Times New Roman"/>
        </w:rPr>
        <w:t xml:space="preserve"> (Berkeley: University of California Press, 2016), 486.</w:t>
      </w:r>
    </w:p>
  </w:footnote>
  <w:footnote w:id="45">
    <w:p w14:paraId="179BBF2D" w14:textId="30594D08" w:rsidR="0069701E" w:rsidRPr="0069701E" w:rsidRDefault="0069701E">
      <w:pPr>
        <w:pStyle w:val="FootnoteText"/>
        <w:rPr>
          <w:lang w:val="en-US"/>
        </w:rPr>
      </w:pPr>
      <w:r>
        <w:rPr>
          <w:rStyle w:val="FootnoteReference"/>
        </w:rPr>
        <w:footnoteRef/>
      </w:r>
      <w:r>
        <w:t xml:space="preserve"> </w:t>
      </w:r>
      <w:r w:rsidR="003A0276">
        <w:rPr>
          <w:noProof/>
        </w:rPr>
        <w:t>Izutsu, 23.</w:t>
      </w:r>
    </w:p>
  </w:footnote>
  <w:footnote w:id="46">
    <w:p w14:paraId="66FFC1B9" w14:textId="5C57FFFA" w:rsidR="00D518F2" w:rsidRPr="00D518F2" w:rsidRDefault="00D518F2">
      <w:pPr>
        <w:pStyle w:val="FootnoteText"/>
        <w:rPr>
          <w:lang w:val="en-US"/>
        </w:rPr>
      </w:pPr>
      <w:r>
        <w:rPr>
          <w:rStyle w:val="FootnoteReference"/>
        </w:rPr>
        <w:footnoteRef/>
      </w:r>
      <w:r>
        <w:t xml:space="preserve"> </w:t>
      </w:r>
      <w:r w:rsidR="003A0276">
        <w:rPr>
          <w:noProof/>
        </w:rPr>
        <w:t>Izutsu, 74.</w:t>
      </w:r>
    </w:p>
  </w:footnote>
  <w:footnote w:id="47">
    <w:p w14:paraId="4202A4EA" w14:textId="466BA5E5" w:rsidR="00D518F2" w:rsidRPr="00D518F2" w:rsidRDefault="00D518F2">
      <w:pPr>
        <w:pStyle w:val="FootnoteText"/>
        <w:rPr>
          <w:lang w:val="en-US"/>
        </w:rPr>
      </w:pPr>
      <w:r>
        <w:rPr>
          <w:rStyle w:val="FootnoteReference"/>
        </w:rPr>
        <w:footnoteRef/>
      </w:r>
      <w:r>
        <w:t xml:space="preserve"> </w:t>
      </w:r>
      <w:r w:rsidR="003A0276">
        <w:rPr>
          <w:noProof/>
        </w:rPr>
        <w:t>Izutsu, 201.</w:t>
      </w:r>
    </w:p>
  </w:footnote>
  <w:footnote w:id="48">
    <w:p w14:paraId="46968D44" w14:textId="60A6FF2C" w:rsidR="0093582F" w:rsidRPr="0093582F" w:rsidRDefault="0093582F">
      <w:pPr>
        <w:pStyle w:val="FootnoteText"/>
      </w:pPr>
      <w:r>
        <w:rPr>
          <w:rStyle w:val="FootnoteReference"/>
        </w:rPr>
        <w:footnoteRef/>
      </w:r>
      <w:r>
        <w:t xml:space="preserve"> </w:t>
      </w:r>
      <w:r w:rsidR="003A0276" w:rsidRPr="003A0276">
        <w:rPr>
          <w:rFonts w:cs="Times New Roman"/>
        </w:rPr>
        <w:t xml:space="preserve">William Chittick, </w:t>
      </w:r>
      <w:r w:rsidR="003A0276" w:rsidRPr="003A0276">
        <w:rPr>
          <w:rFonts w:cs="Times New Roman"/>
          <w:i/>
          <w:iCs/>
        </w:rPr>
        <w:t>The Self-Disclosure of God: Principles of Ibn al</w:t>
      </w:r>
      <w:proofErr w:type="gramStart"/>
      <w:r w:rsidR="003A0276" w:rsidRPr="003A0276">
        <w:rPr>
          <w:rFonts w:cs="Times New Roman"/>
          <w:i/>
          <w:iCs/>
        </w:rPr>
        <w:t>-‘</w:t>
      </w:r>
      <w:proofErr w:type="spellStart"/>
      <w:proofErr w:type="gramEnd"/>
      <w:r w:rsidR="003A0276" w:rsidRPr="003A0276">
        <w:rPr>
          <w:rFonts w:cs="Times New Roman"/>
          <w:i/>
          <w:iCs/>
        </w:rPr>
        <w:t>Arabī’s</w:t>
      </w:r>
      <w:proofErr w:type="spellEnd"/>
      <w:r w:rsidR="003A0276" w:rsidRPr="003A0276">
        <w:rPr>
          <w:rFonts w:cs="Times New Roman"/>
          <w:i/>
          <w:iCs/>
        </w:rPr>
        <w:t xml:space="preserve"> Cosmology</w:t>
      </w:r>
      <w:r w:rsidR="003A0276" w:rsidRPr="003A0276">
        <w:rPr>
          <w:rFonts w:cs="Times New Roman"/>
        </w:rPr>
        <w:t xml:space="preserve"> (Albany: State University of New York Press, 1998), 52.</w:t>
      </w:r>
    </w:p>
  </w:footnote>
  <w:footnote w:id="49">
    <w:p w14:paraId="74F13585" w14:textId="46701D51" w:rsidR="00B7334E" w:rsidRPr="00B7334E" w:rsidRDefault="00B7334E">
      <w:pPr>
        <w:pStyle w:val="FootnoteText"/>
        <w:rPr>
          <w:lang w:val="en-US"/>
        </w:rPr>
      </w:pPr>
      <w:r>
        <w:rPr>
          <w:rStyle w:val="FootnoteReference"/>
        </w:rPr>
        <w:footnoteRef/>
      </w:r>
      <w:r>
        <w:t xml:space="preserve"> </w:t>
      </w:r>
      <w:r w:rsidR="003A0276" w:rsidRPr="003A0276">
        <w:rPr>
          <w:rFonts w:cs="Times New Roman"/>
        </w:rPr>
        <w:t>Ibn al</w:t>
      </w:r>
      <w:proofErr w:type="gramStart"/>
      <w:r w:rsidR="003A0276" w:rsidRPr="003A0276">
        <w:rPr>
          <w:rFonts w:cs="Times New Roman"/>
        </w:rPr>
        <w:t>-‘</w:t>
      </w:r>
      <w:proofErr w:type="spellStart"/>
      <w:proofErr w:type="gramEnd"/>
      <w:r w:rsidR="003A0276" w:rsidRPr="003A0276">
        <w:rPr>
          <w:rFonts w:cs="Times New Roman"/>
        </w:rPr>
        <w:t>Arabī</w:t>
      </w:r>
      <w:proofErr w:type="spellEnd"/>
      <w:r w:rsidR="003A0276" w:rsidRPr="003A0276">
        <w:rPr>
          <w:rFonts w:cs="Times New Roman"/>
        </w:rPr>
        <w:t xml:space="preserve">, </w:t>
      </w:r>
      <w:r w:rsidR="003A0276" w:rsidRPr="003A0276">
        <w:rPr>
          <w:rFonts w:cs="Times New Roman"/>
          <w:i/>
          <w:iCs/>
        </w:rPr>
        <w:t>Al-</w:t>
      </w:r>
      <w:proofErr w:type="spellStart"/>
      <w:r w:rsidR="003A0276" w:rsidRPr="003A0276">
        <w:rPr>
          <w:rFonts w:cs="Times New Roman"/>
          <w:i/>
          <w:iCs/>
        </w:rPr>
        <w:t>Fūtūhat</w:t>
      </w:r>
      <w:proofErr w:type="spellEnd"/>
      <w:r w:rsidR="003A0276" w:rsidRPr="003A0276">
        <w:rPr>
          <w:rFonts w:cs="Times New Roman"/>
          <w:i/>
          <w:iCs/>
        </w:rPr>
        <w:t xml:space="preserve"> al-</w:t>
      </w:r>
      <w:proofErr w:type="spellStart"/>
      <w:r w:rsidR="003A0276" w:rsidRPr="003A0276">
        <w:rPr>
          <w:rFonts w:cs="Times New Roman"/>
          <w:i/>
          <w:iCs/>
        </w:rPr>
        <w:t>Makkiyah</w:t>
      </w:r>
      <w:proofErr w:type="spellEnd"/>
      <w:r w:rsidR="003A0276" w:rsidRPr="003A0276">
        <w:rPr>
          <w:rFonts w:cs="Times New Roman"/>
        </w:rPr>
        <w:t xml:space="preserve"> (Cairo, 1911), 3.162.23.</w:t>
      </w:r>
      <w:r w:rsidR="00653BA9">
        <w:t xml:space="preserve"> For further explanation see </w:t>
      </w:r>
      <w:r w:rsidR="003A0276" w:rsidRPr="003A0276">
        <w:rPr>
          <w:rFonts w:cs="Times New Roman"/>
        </w:rPr>
        <w:t xml:space="preserve">Chittick, </w:t>
      </w:r>
      <w:r w:rsidR="003A0276" w:rsidRPr="003A0276">
        <w:rPr>
          <w:rFonts w:cs="Times New Roman"/>
          <w:i/>
          <w:iCs/>
        </w:rPr>
        <w:t>Self-Disclosure of God</w:t>
      </w:r>
      <w:r w:rsidR="003A0276" w:rsidRPr="003A0276">
        <w:rPr>
          <w:rFonts w:cs="Times New Roman"/>
        </w:rPr>
        <w:t>, xxii.</w:t>
      </w:r>
    </w:p>
  </w:footnote>
  <w:footnote w:id="50">
    <w:p w14:paraId="24232625" w14:textId="692D99AB" w:rsidR="00B740F2" w:rsidRPr="00B740F2" w:rsidRDefault="00B740F2">
      <w:pPr>
        <w:pStyle w:val="FootnoteText"/>
      </w:pPr>
      <w:r>
        <w:rPr>
          <w:rStyle w:val="FootnoteReference"/>
        </w:rPr>
        <w:footnoteRef/>
      </w:r>
      <w:r>
        <w:t xml:space="preserve"> </w:t>
      </w:r>
      <w:r w:rsidR="003A0276" w:rsidRPr="003A0276">
        <w:rPr>
          <w:rFonts w:cs="Times New Roman"/>
        </w:rPr>
        <w:t>Ibn al</w:t>
      </w:r>
      <w:proofErr w:type="gramStart"/>
      <w:r w:rsidR="003A0276" w:rsidRPr="003A0276">
        <w:rPr>
          <w:rFonts w:cs="Times New Roman"/>
        </w:rPr>
        <w:t>-‘</w:t>
      </w:r>
      <w:proofErr w:type="gramEnd"/>
      <w:r w:rsidR="003A0276" w:rsidRPr="003A0276">
        <w:rPr>
          <w:rFonts w:cs="Times New Roman"/>
        </w:rPr>
        <w:t xml:space="preserve">Arabi, </w:t>
      </w:r>
      <w:proofErr w:type="spellStart"/>
      <w:r w:rsidR="003A0276" w:rsidRPr="003A0276">
        <w:rPr>
          <w:rFonts w:cs="Times New Roman"/>
          <w:i/>
          <w:iCs/>
        </w:rPr>
        <w:t>Ringstones</w:t>
      </w:r>
      <w:proofErr w:type="spellEnd"/>
      <w:r w:rsidR="003A0276" w:rsidRPr="003A0276">
        <w:rPr>
          <w:rFonts w:cs="Times New Roman"/>
          <w:i/>
          <w:iCs/>
        </w:rPr>
        <w:t xml:space="preserve"> of Wisdom</w:t>
      </w:r>
      <w:r w:rsidR="003A0276" w:rsidRPr="003A0276">
        <w:rPr>
          <w:rFonts w:cs="Times New Roman"/>
        </w:rPr>
        <w:t xml:space="preserve">, trans. Caner </w:t>
      </w:r>
      <w:proofErr w:type="spellStart"/>
      <w:r w:rsidR="003A0276" w:rsidRPr="003A0276">
        <w:rPr>
          <w:rFonts w:cs="Times New Roman"/>
        </w:rPr>
        <w:t>Dagli</w:t>
      </w:r>
      <w:proofErr w:type="spellEnd"/>
      <w:r w:rsidR="003A0276" w:rsidRPr="003A0276">
        <w:rPr>
          <w:rFonts w:cs="Times New Roman"/>
        </w:rPr>
        <w:t xml:space="preserve"> (Chicago: </w:t>
      </w:r>
      <w:proofErr w:type="spellStart"/>
      <w:r w:rsidR="003A0276" w:rsidRPr="003A0276">
        <w:rPr>
          <w:rFonts w:cs="Times New Roman"/>
        </w:rPr>
        <w:t>Kazi</w:t>
      </w:r>
      <w:proofErr w:type="spellEnd"/>
      <w:r w:rsidR="003A0276" w:rsidRPr="003A0276">
        <w:rPr>
          <w:rFonts w:cs="Times New Roman"/>
        </w:rPr>
        <w:t>, 2004), “</w:t>
      </w:r>
      <w:proofErr w:type="spellStart"/>
      <w:r w:rsidR="003A0276" w:rsidRPr="003A0276">
        <w:rPr>
          <w:rFonts w:cs="Times New Roman"/>
        </w:rPr>
        <w:t>Ringstone</w:t>
      </w:r>
      <w:proofErr w:type="spellEnd"/>
      <w:r w:rsidR="003A0276" w:rsidRPr="003A0276">
        <w:rPr>
          <w:rFonts w:cs="Times New Roman"/>
        </w:rPr>
        <w:t xml:space="preserve"> on the Wisdom of Unity in the Word of Hud,” 97.</w:t>
      </w:r>
    </w:p>
  </w:footnote>
  <w:footnote w:id="51">
    <w:p w14:paraId="1E0EB986" w14:textId="5EB847BA" w:rsidR="00E87FA2" w:rsidRPr="00E87FA2" w:rsidRDefault="00E87FA2">
      <w:pPr>
        <w:pStyle w:val="FootnoteText"/>
      </w:pPr>
      <w:r>
        <w:rPr>
          <w:rStyle w:val="FootnoteReference"/>
        </w:rPr>
        <w:footnoteRef/>
      </w:r>
      <w:r>
        <w:t xml:space="preserve"> </w:t>
      </w:r>
      <w:r w:rsidR="003A0276" w:rsidRPr="003A0276">
        <w:rPr>
          <w:rFonts w:cs="Times New Roman"/>
        </w:rPr>
        <w:t>al</w:t>
      </w:r>
      <w:proofErr w:type="gramStart"/>
      <w:r w:rsidR="003A0276" w:rsidRPr="003A0276">
        <w:rPr>
          <w:rFonts w:cs="Times New Roman"/>
        </w:rPr>
        <w:t>-‘</w:t>
      </w:r>
      <w:proofErr w:type="gramEnd"/>
      <w:r w:rsidR="003A0276" w:rsidRPr="003A0276">
        <w:rPr>
          <w:rFonts w:cs="Times New Roman"/>
        </w:rPr>
        <w:t>Arabi, 97.</w:t>
      </w:r>
    </w:p>
  </w:footnote>
  <w:footnote w:id="52">
    <w:p w14:paraId="3C37A9EE" w14:textId="58CEBFB9" w:rsidR="00E87FA2" w:rsidRPr="00E87FA2" w:rsidRDefault="00E87FA2" w:rsidP="00E87FA2">
      <w:pPr>
        <w:pStyle w:val="FootnoteText"/>
      </w:pPr>
      <w:r>
        <w:rPr>
          <w:rStyle w:val="FootnoteReference"/>
        </w:rPr>
        <w:footnoteRef/>
      </w:r>
      <w:r>
        <w:t xml:space="preserve"> </w:t>
      </w:r>
      <w:r w:rsidR="003A0276" w:rsidRPr="003A0276">
        <w:rPr>
          <w:rFonts w:cs="Times New Roman"/>
        </w:rPr>
        <w:t>al</w:t>
      </w:r>
      <w:proofErr w:type="gramStart"/>
      <w:r w:rsidR="003A0276" w:rsidRPr="003A0276">
        <w:rPr>
          <w:rFonts w:cs="Times New Roman"/>
        </w:rPr>
        <w:t>-‘</w:t>
      </w:r>
      <w:proofErr w:type="gramEnd"/>
      <w:r w:rsidR="003A0276" w:rsidRPr="003A0276">
        <w:rPr>
          <w:rFonts w:cs="Times New Roman"/>
        </w:rPr>
        <w:t>Arabi, 97.</w:t>
      </w:r>
    </w:p>
  </w:footnote>
  <w:footnote w:id="53">
    <w:p w14:paraId="1EA9D66A" w14:textId="21807CAB" w:rsidR="00EC4570" w:rsidRPr="000765E8" w:rsidRDefault="00EC4570" w:rsidP="00EC4570">
      <w:pPr>
        <w:pStyle w:val="FootnoteText"/>
        <w:rPr>
          <w:lang w:val="en-US"/>
        </w:rPr>
      </w:pPr>
      <w:r>
        <w:rPr>
          <w:rStyle w:val="FootnoteReference"/>
        </w:rPr>
        <w:footnoteRef/>
      </w:r>
      <w:r>
        <w:t xml:space="preserve"> </w:t>
      </w:r>
      <w:r>
        <w:rPr>
          <w:lang w:val="en-US"/>
        </w:rPr>
        <w:t xml:space="preserve">The question of whether Ibn </w:t>
      </w:r>
      <w:r w:rsidR="00A749F9">
        <w:rPr>
          <w:lang w:val="en-US"/>
        </w:rPr>
        <w:t>‘</w:t>
      </w:r>
      <w:proofErr w:type="spellStart"/>
      <w:r w:rsidR="00A749F9">
        <w:rPr>
          <w:lang w:val="en-US"/>
        </w:rPr>
        <w:t>Arabī</w:t>
      </w:r>
      <w:proofErr w:type="spellEnd"/>
      <w:r w:rsidR="00A749F9">
        <w:rPr>
          <w:lang w:val="en-US"/>
        </w:rPr>
        <w:t xml:space="preserve"> </w:t>
      </w:r>
      <w:r>
        <w:rPr>
          <w:lang w:val="en-US"/>
        </w:rPr>
        <w:t xml:space="preserve">should be regarded as a </w:t>
      </w:r>
      <w:r w:rsidRPr="0026402A">
        <w:rPr>
          <w:lang w:val="en-US"/>
        </w:rPr>
        <w:t>pantheist</w:t>
      </w:r>
      <w:r>
        <w:rPr>
          <w:lang w:val="en-US"/>
        </w:rPr>
        <w:t xml:space="preserve">, however, is more complex. Like </w:t>
      </w:r>
      <w:proofErr w:type="spellStart"/>
      <w:r>
        <w:rPr>
          <w:lang w:val="en-US"/>
        </w:rPr>
        <w:t>Eriugena</w:t>
      </w:r>
      <w:proofErr w:type="spellEnd"/>
      <w:r>
        <w:rPr>
          <w:lang w:val="en-US"/>
        </w:rPr>
        <w:t xml:space="preserve">, Ibn </w:t>
      </w:r>
      <w:r w:rsidR="00A749F9">
        <w:rPr>
          <w:lang w:val="en-US"/>
        </w:rPr>
        <w:t>‘</w:t>
      </w:r>
      <w:proofErr w:type="spellStart"/>
      <w:r w:rsidR="00A749F9">
        <w:rPr>
          <w:lang w:val="en-US"/>
        </w:rPr>
        <w:t>Arabī</w:t>
      </w:r>
      <w:proofErr w:type="spellEnd"/>
      <w:r w:rsidR="00A749F9">
        <w:rPr>
          <w:lang w:val="en-US"/>
        </w:rPr>
        <w:t xml:space="preserve"> </w:t>
      </w:r>
      <w:r>
        <w:rPr>
          <w:lang w:val="en-US"/>
        </w:rPr>
        <w:t xml:space="preserve">blocks an easy answer to this question by maintaining a distinction between </w:t>
      </w:r>
      <w:r w:rsidR="00A749F9">
        <w:rPr>
          <w:lang w:val="en-US"/>
        </w:rPr>
        <w:t>God’s</w:t>
      </w:r>
      <w:r>
        <w:rPr>
          <w:lang w:val="en-US"/>
        </w:rPr>
        <w:t xml:space="preserve"> immanent being and his transcendent being: </w:t>
      </w:r>
      <w:r w:rsidR="003A0276" w:rsidRPr="003A0276">
        <w:rPr>
          <w:rFonts w:cs="Times New Roman"/>
        </w:rPr>
        <w:t>Mohammed Rustom, “Is Ibn Al</w:t>
      </w:r>
      <w:proofErr w:type="gramStart"/>
      <w:r w:rsidR="003A0276" w:rsidRPr="003A0276">
        <w:rPr>
          <w:rFonts w:cs="Times New Roman"/>
        </w:rPr>
        <w:t>-‘</w:t>
      </w:r>
      <w:proofErr w:type="spellStart"/>
      <w:proofErr w:type="gramEnd"/>
      <w:r w:rsidR="003A0276" w:rsidRPr="003A0276">
        <w:rPr>
          <w:rFonts w:cs="Times New Roman"/>
        </w:rPr>
        <w:t>Arabī’s</w:t>
      </w:r>
      <w:proofErr w:type="spellEnd"/>
      <w:r w:rsidR="003A0276" w:rsidRPr="003A0276">
        <w:rPr>
          <w:rFonts w:cs="Times New Roman"/>
        </w:rPr>
        <w:t xml:space="preserve"> Ontology Pantheistic?,” </w:t>
      </w:r>
      <w:r w:rsidR="003A0276" w:rsidRPr="003A0276">
        <w:rPr>
          <w:rFonts w:cs="Times New Roman"/>
          <w:i/>
          <w:iCs/>
        </w:rPr>
        <w:t>Journal of Islamic Philosophy</w:t>
      </w:r>
      <w:r w:rsidR="003A0276" w:rsidRPr="003A0276">
        <w:rPr>
          <w:rFonts w:cs="Times New Roman"/>
        </w:rPr>
        <w:t xml:space="preserve"> 2, no. 1 (2006): 53–67.</w:t>
      </w:r>
    </w:p>
  </w:footnote>
  <w:footnote w:id="54">
    <w:p w14:paraId="319BF531" w14:textId="0DF02A9C" w:rsidR="00F063EE" w:rsidRPr="00F063EE" w:rsidRDefault="00F063EE">
      <w:pPr>
        <w:pStyle w:val="FootnoteText"/>
        <w:rPr>
          <w:lang w:val="en-US"/>
        </w:rPr>
      </w:pPr>
      <w:r>
        <w:rPr>
          <w:rStyle w:val="FootnoteReference"/>
        </w:rPr>
        <w:footnoteRef/>
      </w:r>
      <w:r>
        <w:t xml:space="preserve"> </w:t>
      </w:r>
      <w:r>
        <w:rPr>
          <w:lang w:val="en-US"/>
        </w:rPr>
        <w:t>This was pointed out to me by an anonymous reviewer.</w:t>
      </w:r>
    </w:p>
  </w:footnote>
  <w:footnote w:id="55">
    <w:p w14:paraId="5D9901C1" w14:textId="59F1BF61" w:rsidR="009A0E9E" w:rsidRPr="0075735E" w:rsidRDefault="009A0E9E" w:rsidP="009A0E9E">
      <w:pPr>
        <w:pStyle w:val="FootnoteText"/>
        <w:rPr>
          <w:lang w:val="en-US"/>
        </w:rPr>
      </w:pPr>
      <w:r>
        <w:rPr>
          <w:rStyle w:val="FootnoteReference"/>
        </w:rPr>
        <w:footnoteRef/>
      </w:r>
      <w:r>
        <w:t xml:space="preserve"> </w:t>
      </w:r>
      <w:r w:rsidRPr="009A0E9E">
        <w:rPr>
          <w:rFonts w:cs="Times New Roman"/>
        </w:rPr>
        <w:t xml:space="preserve">Miquel </w:t>
      </w:r>
      <w:proofErr w:type="spellStart"/>
      <w:r w:rsidRPr="009A0E9E">
        <w:rPr>
          <w:rFonts w:cs="Times New Roman"/>
        </w:rPr>
        <w:t>Beltrán</w:t>
      </w:r>
      <w:proofErr w:type="spellEnd"/>
      <w:r w:rsidRPr="009A0E9E">
        <w:rPr>
          <w:rFonts w:cs="Times New Roman"/>
        </w:rPr>
        <w:t xml:space="preserve">, </w:t>
      </w:r>
      <w:r w:rsidRPr="009A0E9E">
        <w:rPr>
          <w:rFonts w:cs="Times New Roman"/>
          <w:i/>
          <w:iCs/>
        </w:rPr>
        <w:t>The Influence of Abraham Cohen de Herrera’s Kabbalah on Spinoza’s Metaphysics</w:t>
      </w:r>
      <w:r w:rsidRPr="009A0E9E">
        <w:rPr>
          <w:rFonts w:cs="Times New Roman"/>
        </w:rPr>
        <w:t xml:space="preserve"> (Leiden: Brill, 2016); Johan </w:t>
      </w:r>
      <w:proofErr w:type="spellStart"/>
      <w:r w:rsidRPr="009A0E9E">
        <w:rPr>
          <w:rFonts w:cs="Times New Roman"/>
        </w:rPr>
        <w:t>Aanen</w:t>
      </w:r>
      <w:proofErr w:type="spellEnd"/>
      <w:r w:rsidRPr="009A0E9E">
        <w:rPr>
          <w:rFonts w:cs="Times New Roman"/>
        </w:rPr>
        <w:t xml:space="preserve">, “The Kabbalistic Sources of Spinoza,” </w:t>
      </w:r>
      <w:r w:rsidRPr="009A0E9E">
        <w:rPr>
          <w:rFonts w:cs="Times New Roman"/>
          <w:i/>
          <w:iCs/>
        </w:rPr>
        <w:t>The Journal of Jewish Thought and Philosophy</w:t>
      </w:r>
      <w:r w:rsidRPr="009A0E9E">
        <w:rPr>
          <w:rFonts w:cs="Times New Roman"/>
        </w:rPr>
        <w:t xml:space="preserve"> 24, no. 2 (October 28, 2016): 279–99; Yitzhak Melamed, “Spinoza and the Kabbalah: From the Gate of Heaven to the ‘Field of Holy Apples,’” in </w:t>
      </w:r>
      <w:r w:rsidRPr="009A0E9E">
        <w:rPr>
          <w:rFonts w:cs="Times New Roman"/>
          <w:i/>
          <w:iCs/>
        </w:rPr>
        <w:t>Early Modern Philosophy &amp; the Kabbalah</w:t>
      </w:r>
      <w:r w:rsidRPr="009A0E9E">
        <w:rPr>
          <w:rFonts w:cs="Times New Roman"/>
        </w:rPr>
        <w:t xml:space="preserve">, ed. Cristina </w:t>
      </w:r>
      <w:proofErr w:type="spellStart"/>
      <w:r w:rsidRPr="009A0E9E">
        <w:rPr>
          <w:rFonts w:cs="Times New Roman"/>
        </w:rPr>
        <w:t>Ciucu</w:t>
      </w:r>
      <w:proofErr w:type="spellEnd"/>
      <w:r w:rsidRPr="009A0E9E">
        <w:rPr>
          <w:rFonts w:cs="Times New Roman"/>
        </w:rPr>
        <w:t xml:space="preserve">, forthcoming; Richard Popkin, “Spinoza, ‘Neoplatonic Kabbalist?,’” in </w:t>
      </w:r>
      <w:r w:rsidRPr="009A0E9E">
        <w:rPr>
          <w:rFonts w:cs="Times New Roman"/>
          <w:i/>
          <w:iCs/>
        </w:rPr>
        <w:t>Neoplatonism and Jewish Thought</w:t>
      </w:r>
      <w:r w:rsidRPr="009A0E9E">
        <w:rPr>
          <w:rFonts w:cs="Times New Roman"/>
        </w:rPr>
        <w:t xml:space="preserve">, by </w:t>
      </w:r>
      <w:proofErr w:type="spellStart"/>
      <w:r w:rsidRPr="009A0E9E">
        <w:rPr>
          <w:rFonts w:cs="Times New Roman"/>
        </w:rPr>
        <w:t>Lenn</w:t>
      </w:r>
      <w:proofErr w:type="spellEnd"/>
      <w:r w:rsidRPr="009A0E9E">
        <w:rPr>
          <w:rFonts w:cs="Times New Roman"/>
        </w:rPr>
        <w:t xml:space="preserve"> Evan Goodman (New York: SUNY Press, 1992), 387–4098.</w:t>
      </w:r>
    </w:p>
  </w:footnote>
  <w:footnote w:id="56">
    <w:p w14:paraId="7AE048D4" w14:textId="47C9E0F4" w:rsidR="009A0E9E" w:rsidRPr="009A0E9E" w:rsidRDefault="009A0E9E">
      <w:pPr>
        <w:pStyle w:val="FootnoteText"/>
      </w:pPr>
      <w:r>
        <w:rPr>
          <w:rStyle w:val="FootnoteReference"/>
        </w:rPr>
        <w:footnoteRef/>
      </w:r>
      <w:r>
        <w:t xml:space="preserve"> </w:t>
      </w:r>
      <w:proofErr w:type="spellStart"/>
      <w:r w:rsidRPr="009A0E9E">
        <w:rPr>
          <w:rFonts w:cs="Times New Roman"/>
        </w:rPr>
        <w:t>Beltrán</w:t>
      </w:r>
      <w:proofErr w:type="spellEnd"/>
      <w:r w:rsidRPr="009A0E9E">
        <w:rPr>
          <w:rFonts w:cs="Times New Roman"/>
        </w:rPr>
        <w:t xml:space="preserve">, </w:t>
      </w:r>
      <w:r w:rsidRPr="009A0E9E">
        <w:rPr>
          <w:rFonts w:cs="Times New Roman"/>
          <w:i/>
          <w:iCs/>
        </w:rPr>
        <w:t>The Influence of Abraham Cohen de Herrera’s Kabbalah on Spinoza’s Metaphysics</w:t>
      </w:r>
      <w:r w:rsidRPr="009A0E9E">
        <w:rPr>
          <w:rFonts w:cs="Times New Roman"/>
        </w:rPr>
        <w:t>; Melamed, “Spinoza and the Kabbalah: From the Gate of Heaven to the ‘Field of Holy Apples.’”</w:t>
      </w:r>
    </w:p>
  </w:footnote>
  <w:footnote w:id="57">
    <w:p w14:paraId="5CEAC6A9" w14:textId="11B789AB" w:rsidR="00141634" w:rsidRPr="0075735E" w:rsidRDefault="00141634" w:rsidP="00141634">
      <w:pPr>
        <w:pStyle w:val="FootnoteText"/>
        <w:rPr>
          <w:lang w:val="en-US"/>
        </w:rPr>
      </w:pPr>
      <w:r>
        <w:rPr>
          <w:rStyle w:val="FootnoteReference"/>
        </w:rPr>
        <w:footnoteRef/>
      </w:r>
      <w:r>
        <w:t xml:space="preserve"> </w:t>
      </w:r>
      <w:r w:rsidR="009A0E9E" w:rsidRPr="009A0E9E">
        <w:rPr>
          <w:rFonts w:cs="Times New Roman"/>
        </w:rPr>
        <w:t xml:space="preserve">Abraham Cohen de Herrera, </w:t>
      </w:r>
      <w:r w:rsidR="009A0E9E" w:rsidRPr="009A0E9E">
        <w:rPr>
          <w:rFonts w:cs="Times New Roman"/>
          <w:i/>
          <w:iCs/>
        </w:rPr>
        <w:t>Gate of Heaven</w:t>
      </w:r>
      <w:r w:rsidR="009A0E9E" w:rsidRPr="009A0E9E">
        <w:rPr>
          <w:rFonts w:cs="Times New Roman"/>
        </w:rPr>
        <w:t xml:space="preserve">, trans. Kenneth </w:t>
      </w:r>
      <w:proofErr w:type="spellStart"/>
      <w:r w:rsidR="009A0E9E" w:rsidRPr="009A0E9E">
        <w:rPr>
          <w:rFonts w:cs="Times New Roman"/>
        </w:rPr>
        <w:t>Krabbenhoft</w:t>
      </w:r>
      <w:proofErr w:type="spellEnd"/>
      <w:r w:rsidR="009A0E9E" w:rsidRPr="009A0E9E">
        <w:rPr>
          <w:rFonts w:cs="Times New Roman"/>
        </w:rPr>
        <w:t xml:space="preserve"> (Leiden: Brill, 2021), 4.2, 158.</w:t>
      </w:r>
    </w:p>
  </w:footnote>
  <w:footnote w:id="58">
    <w:p w14:paraId="3F534F92" w14:textId="60F3E86C" w:rsidR="00145DE4" w:rsidRPr="00B441F4" w:rsidRDefault="00145DE4" w:rsidP="00145DE4">
      <w:pPr>
        <w:pStyle w:val="FootnoteText"/>
        <w:rPr>
          <w:lang w:val="en-US"/>
        </w:rPr>
      </w:pPr>
      <w:r w:rsidRPr="005F3607">
        <w:rPr>
          <w:rStyle w:val="FootnoteReference"/>
        </w:rPr>
        <w:footnoteRef/>
      </w:r>
      <w:r w:rsidRPr="00B441F4">
        <w:t xml:space="preserve"> </w:t>
      </w:r>
      <w:proofErr w:type="spellStart"/>
      <w:r w:rsidR="003A0276" w:rsidRPr="003A0276">
        <w:rPr>
          <w:rFonts w:cs="Times New Roman"/>
        </w:rPr>
        <w:t>Izutsu</w:t>
      </w:r>
      <w:proofErr w:type="spellEnd"/>
      <w:r w:rsidR="003A0276" w:rsidRPr="003A0276">
        <w:rPr>
          <w:rFonts w:cs="Times New Roman"/>
        </w:rPr>
        <w:t xml:space="preserve">, </w:t>
      </w:r>
      <w:r w:rsidR="003A0276" w:rsidRPr="003A0276">
        <w:rPr>
          <w:rFonts w:cs="Times New Roman"/>
          <w:i/>
          <w:iCs/>
        </w:rPr>
        <w:t>Sufism and Taoism</w:t>
      </w:r>
      <w:r w:rsidR="003A0276" w:rsidRPr="003A0276">
        <w:rPr>
          <w:rFonts w:cs="Times New Roman"/>
        </w:rPr>
        <w:t>, 489.</w:t>
      </w:r>
    </w:p>
  </w:footnote>
  <w:footnote w:id="59">
    <w:p w14:paraId="7B9DCD2E" w14:textId="60C326B8" w:rsidR="008525D0" w:rsidRPr="008525D0" w:rsidRDefault="008525D0">
      <w:pPr>
        <w:pStyle w:val="FootnoteText"/>
        <w:rPr>
          <w:lang w:val="en-US"/>
        </w:rPr>
      </w:pPr>
      <w:r>
        <w:rPr>
          <w:rStyle w:val="FootnoteReference"/>
        </w:rPr>
        <w:footnoteRef/>
      </w:r>
      <w:r>
        <w:t xml:space="preserve"> </w:t>
      </w:r>
      <w:r w:rsidRPr="009A0E9E">
        <w:rPr>
          <w:rFonts w:cs="Times New Roman"/>
        </w:rPr>
        <w:t xml:space="preserve">Herrera, </w:t>
      </w:r>
      <w:r w:rsidRPr="009A0E9E">
        <w:rPr>
          <w:rFonts w:cs="Times New Roman"/>
          <w:i/>
          <w:iCs/>
        </w:rPr>
        <w:t>Abraham Cohen de Herrera</w:t>
      </w:r>
      <w:r w:rsidRPr="009A0E9E">
        <w:rPr>
          <w:rFonts w:cs="Times New Roman"/>
        </w:rPr>
        <w:t>, 1p2, 5.</w:t>
      </w:r>
    </w:p>
  </w:footnote>
  <w:footnote w:id="60">
    <w:p w14:paraId="4796E07C" w14:textId="436C750A" w:rsidR="00D75859" w:rsidRPr="00D75859" w:rsidRDefault="00D75859">
      <w:pPr>
        <w:pStyle w:val="FootnoteText"/>
        <w:rPr>
          <w:lang w:val="en-US"/>
        </w:rPr>
      </w:pPr>
      <w:r>
        <w:rPr>
          <w:rStyle w:val="FootnoteReference"/>
        </w:rPr>
        <w:footnoteRef/>
      </w:r>
      <w:r>
        <w:t xml:space="preserve"> </w:t>
      </w:r>
      <w:proofErr w:type="spellStart"/>
      <w:r w:rsidR="009A0E9E" w:rsidRPr="009A0E9E">
        <w:rPr>
          <w:rFonts w:cs="Times New Roman"/>
        </w:rPr>
        <w:t>Izutsu</w:t>
      </w:r>
      <w:proofErr w:type="spellEnd"/>
      <w:r w:rsidR="009A0E9E" w:rsidRPr="009A0E9E">
        <w:rPr>
          <w:rFonts w:cs="Times New Roman"/>
        </w:rPr>
        <w:t xml:space="preserve">, </w:t>
      </w:r>
      <w:r w:rsidR="009A0E9E" w:rsidRPr="009A0E9E">
        <w:rPr>
          <w:rFonts w:cs="Times New Roman"/>
          <w:i/>
          <w:iCs/>
        </w:rPr>
        <w:t>Sufism and Taoism</w:t>
      </w:r>
      <w:r w:rsidR="009A0E9E" w:rsidRPr="009A0E9E">
        <w:rPr>
          <w:rFonts w:cs="Times New Roman"/>
        </w:rPr>
        <w:t>, 74.</w:t>
      </w:r>
    </w:p>
  </w:footnote>
  <w:footnote w:id="61">
    <w:p w14:paraId="756FDEAA" w14:textId="1A4F2BD4" w:rsidR="00F066A3" w:rsidRPr="00F066A3" w:rsidRDefault="00F066A3">
      <w:pPr>
        <w:pStyle w:val="FootnoteText"/>
        <w:rPr>
          <w:lang w:val="en-US"/>
        </w:rPr>
      </w:pPr>
      <w:r>
        <w:rPr>
          <w:rStyle w:val="FootnoteReference"/>
        </w:rPr>
        <w:footnoteRef/>
      </w:r>
      <w:r>
        <w:t xml:space="preserve"> </w:t>
      </w:r>
      <w:r w:rsidR="003A0276" w:rsidRPr="003A0276">
        <w:rPr>
          <w:rFonts w:cs="Times New Roman"/>
        </w:rPr>
        <w:t xml:space="preserve">Abdul </w:t>
      </w:r>
      <w:proofErr w:type="spellStart"/>
      <w:r w:rsidR="003A0276" w:rsidRPr="003A0276">
        <w:rPr>
          <w:rFonts w:cs="Times New Roman"/>
        </w:rPr>
        <w:t>Haq</w:t>
      </w:r>
      <w:proofErr w:type="spellEnd"/>
      <w:r w:rsidR="003A0276" w:rsidRPr="003A0276">
        <w:rPr>
          <w:rFonts w:cs="Times New Roman"/>
        </w:rPr>
        <w:t xml:space="preserve"> Ansari, “Ibn ‘</w:t>
      </w:r>
      <w:proofErr w:type="spellStart"/>
      <w:r w:rsidR="003A0276" w:rsidRPr="003A0276">
        <w:rPr>
          <w:rFonts w:cs="Times New Roman"/>
        </w:rPr>
        <w:t>Arabī</w:t>
      </w:r>
      <w:proofErr w:type="spellEnd"/>
      <w:r w:rsidR="003A0276" w:rsidRPr="003A0276">
        <w:rPr>
          <w:rFonts w:cs="Times New Roman"/>
        </w:rPr>
        <w:t xml:space="preserve">: The Doctrine of </w:t>
      </w:r>
      <w:proofErr w:type="spellStart"/>
      <w:r w:rsidR="003A0276" w:rsidRPr="003A0276">
        <w:rPr>
          <w:rFonts w:cs="Times New Roman"/>
        </w:rPr>
        <w:t>Waḥdat</w:t>
      </w:r>
      <w:proofErr w:type="spellEnd"/>
      <w:r w:rsidR="003A0276" w:rsidRPr="003A0276">
        <w:rPr>
          <w:rFonts w:cs="Times New Roman"/>
        </w:rPr>
        <w:t xml:space="preserve"> al-</w:t>
      </w:r>
      <w:proofErr w:type="spellStart"/>
      <w:r w:rsidR="003A0276" w:rsidRPr="003A0276">
        <w:rPr>
          <w:rFonts w:cs="Times New Roman"/>
        </w:rPr>
        <w:t>Wujūd</w:t>
      </w:r>
      <w:proofErr w:type="spellEnd"/>
      <w:r w:rsidR="003A0276" w:rsidRPr="003A0276">
        <w:rPr>
          <w:rFonts w:cs="Times New Roman"/>
        </w:rPr>
        <w:t xml:space="preserve">,” </w:t>
      </w:r>
      <w:r w:rsidR="003A0276" w:rsidRPr="003A0276">
        <w:rPr>
          <w:rFonts w:cs="Times New Roman"/>
          <w:i/>
          <w:iCs/>
        </w:rPr>
        <w:t>Islamic Studies</w:t>
      </w:r>
      <w:r w:rsidR="003A0276" w:rsidRPr="003A0276">
        <w:rPr>
          <w:rFonts w:cs="Times New Roman"/>
        </w:rPr>
        <w:t xml:space="preserve"> 38, no. 2 (1999): 154.</w:t>
      </w:r>
    </w:p>
  </w:footnote>
  <w:footnote w:id="62">
    <w:p w14:paraId="2B05107F" w14:textId="5A9C9CE3" w:rsidR="00F066A3" w:rsidRPr="00F066A3" w:rsidRDefault="00F066A3">
      <w:pPr>
        <w:pStyle w:val="FootnoteText"/>
        <w:rPr>
          <w:lang w:val="en-US"/>
        </w:rPr>
      </w:pPr>
      <w:r>
        <w:rPr>
          <w:rStyle w:val="FootnoteReference"/>
        </w:rPr>
        <w:footnoteRef/>
      </w:r>
      <w:r>
        <w:t xml:space="preserve"> </w:t>
      </w:r>
      <w:r w:rsidR="003A0276">
        <w:rPr>
          <w:noProof/>
        </w:rPr>
        <w:t>Ansari, 154.</w:t>
      </w:r>
    </w:p>
  </w:footnote>
  <w:footnote w:id="63">
    <w:p w14:paraId="58EB25A8" w14:textId="3B9F5160" w:rsidR="00E93AE2" w:rsidRPr="00E93AE2" w:rsidRDefault="00E93AE2">
      <w:pPr>
        <w:pStyle w:val="FootnoteText"/>
        <w:rPr>
          <w:lang w:val="en-US"/>
        </w:rPr>
      </w:pPr>
      <w:r>
        <w:rPr>
          <w:rStyle w:val="FootnoteReference"/>
        </w:rPr>
        <w:footnoteRef/>
      </w:r>
      <w:r>
        <w:t xml:space="preserve"> </w:t>
      </w:r>
      <w:r w:rsidR="003A0276" w:rsidRPr="003A0276">
        <w:rPr>
          <w:rFonts w:cs="Times New Roman"/>
        </w:rPr>
        <w:t xml:space="preserve">Salgado </w:t>
      </w:r>
      <w:proofErr w:type="spellStart"/>
      <w:r w:rsidR="003A0276" w:rsidRPr="003A0276">
        <w:rPr>
          <w:rFonts w:cs="Times New Roman"/>
        </w:rPr>
        <w:t>Borge</w:t>
      </w:r>
      <w:proofErr w:type="spellEnd"/>
      <w:r w:rsidR="003A0276" w:rsidRPr="003A0276">
        <w:rPr>
          <w:rFonts w:cs="Times New Roman"/>
        </w:rPr>
        <w:t>, “Expression as Signification.”</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BC7F57"/>
    <w:multiLevelType w:val="hybridMultilevel"/>
    <w:tmpl w:val="0CAEB4A8"/>
    <w:lvl w:ilvl="0" w:tplc="0809000F">
      <w:start w:val="1"/>
      <w:numFmt w:val="decimal"/>
      <w:lvlText w:val="%1."/>
      <w:lvlJc w:val="left"/>
      <w:pPr>
        <w:ind w:left="720" w:hanging="360"/>
      </w:pPr>
      <w:rPr>
        <w:rFonts w:hint="default"/>
      </w:rPr>
    </w:lvl>
    <w:lvl w:ilvl="1" w:tplc="08090001">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49396199"/>
    <w:multiLevelType w:val="hybridMultilevel"/>
    <w:tmpl w:val="7E8C35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A3A2E30"/>
    <w:multiLevelType w:val="hybridMultilevel"/>
    <w:tmpl w:val="06D47478"/>
    <w:lvl w:ilvl="0" w:tplc="172A0BAC">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62343878">
    <w:abstractNumId w:val="0"/>
  </w:num>
  <w:num w:numId="2" w16cid:durableId="1549947826">
    <w:abstractNumId w:val="1"/>
  </w:num>
  <w:num w:numId="3" w16cid:durableId="150786710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8"/>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422E"/>
    <w:rsid w:val="0000422E"/>
    <w:rsid w:val="00007655"/>
    <w:rsid w:val="00017D46"/>
    <w:rsid w:val="000363A8"/>
    <w:rsid w:val="0004053A"/>
    <w:rsid w:val="00042351"/>
    <w:rsid w:val="00044DC5"/>
    <w:rsid w:val="00045368"/>
    <w:rsid w:val="00047CCB"/>
    <w:rsid w:val="00051809"/>
    <w:rsid w:val="000618A6"/>
    <w:rsid w:val="00065436"/>
    <w:rsid w:val="000765E8"/>
    <w:rsid w:val="0008080E"/>
    <w:rsid w:val="00097497"/>
    <w:rsid w:val="000A03E1"/>
    <w:rsid w:val="000A223C"/>
    <w:rsid w:val="000B4B43"/>
    <w:rsid w:val="000C0874"/>
    <w:rsid w:val="000C76D0"/>
    <w:rsid w:val="000F564C"/>
    <w:rsid w:val="0010123E"/>
    <w:rsid w:val="00115085"/>
    <w:rsid w:val="001255FA"/>
    <w:rsid w:val="001260FD"/>
    <w:rsid w:val="00126722"/>
    <w:rsid w:val="00140908"/>
    <w:rsid w:val="00141634"/>
    <w:rsid w:val="001449DB"/>
    <w:rsid w:val="00145DE4"/>
    <w:rsid w:val="00156141"/>
    <w:rsid w:val="001576AB"/>
    <w:rsid w:val="00187830"/>
    <w:rsid w:val="00193D14"/>
    <w:rsid w:val="00194EA9"/>
    <w:rsid w:val="0019560A"/>
    <w:rsid w:val="001A023B"/>
    <w:rsid w:val="001A4846"/>
    <w:rsid w:val="001A5B51"/>
    <w:rsid w:val="001A665B"/>
    <w:rsid w:val="001B0452"/>
    <w:rsid w:val="001B0B90"/>
    <w:rsid w:val="001B2D1D"/>
    <w:rsid w:val="001C2C3B"/>
    <w:rsid w:val="001C69AE"/>
    <w:rsid w:val="001C6D48"/>
    <w:rsid w:val="001D5706"/>
    <w:rsid w:val="001E70E0"/>
    <w:rsid w:val="001F0078"/>
    <w:rsid w:val="00206015"/>
    <w:rsid w:val="00207D4E"/>
    <w:rsid w:val="002130A1"/>
    <w:rsid w:val="0021415A"/>
    <w:rsid w:val="002168C2"/>
    <w:rsid w:val="00222218"/>
    <w:rsid w:val="002244A4"/>
    <w:rsid w:val="00225AD8"/>
    <w:rsid w:val="0023442B"/>
    <w:rsid w:val="00241908"/>
    <w:rsid w:val="0025304B"/>
    <w:rsid w:val="00253F94"/>
    <w:rsid w:val="002632E0"/>
    <w:rsid w:val="0026402A"/>
    <w:rsid w:val="00265D53"/>
    <w:rsid w:val="00266F41"/>
    <w:rsid w:val="00271E1B"/>
    <w:rsid w:val="0027714A"/>
    <w:rsid w:val="002876B2"/>
    <w:rsid w:val="00294A93"/>
    <w:rsid w:val="002A54EA"/>
    <w:rsid w:val="002B131A"/>
    <w:rsid w:val="002B726D"/>
    <w:rsid w:val="002D122D"/>
    <w:rsid w:val="002D2825"/>
    <w:rsid w:val="002D31F5"/>
    <w:rsid w:val="002D4EB0"/>
    <w:rsid w:val="002D63A0"/>
    <w:rsid w:val="002D71F5"/>
    <w:rsid w:val="002D7C41"/>
    <w:rsid w:val="002F2E19"/>
    <w:rsid w:val="002F7249"/>
    <w:rsid w:val="003004A4"/>
    <w:rsid w:val="003071E4"/>
    <w:rsid w:val="0031029C"/>
    <w:rsid w:val="003247D0"/>
    <w:rsid w:val="00331B95"/>
    <w:rsid w:val="00337422"/>
    <w:rsid w:val="003378E6"/>
    <w:rsid w:val="003512C0"/>
    <w:rsid w:val="0035557B"/>
    <w:rsid w:val="00356213"/>
    <w:rsid w:val="00357A01"/>
    <w:rsid w:val="00362AFB"/>
    <w:rsid w:val="003705DA"/>
    <w:rsid w:val="00372AEC"/>
    <w:rsid w:val="003801F5"/>
    <w:rsid w:val="00380309"/>
    <w:rsid w:val="00381F06"/>
    <w:rsid w:val="003912E7"/>
    <w:rsid w:val="00392318"/>
    <w:rsid w:val="00397641"/>
    <w:rsid w:val="003A0276"/>
    <w:rsid w:val="003A3D02"/>
    <w:rsid w:val="003B701A"/>
    <w:rsid w:val="003C7CF0"/>
    <w:rsid w:val="003E17F9"/>
    <w:rsid w:val="003E43C8"/>
    <w:rsid w:val="004013FF"/>
    <w:rsid w:val="00421210"/>
    <w:rsid w:val="004547B1"/>
    <w:rsid w:val="0045543A"/>
    <w:rsid w:val="004565D5"/>
    <w:rsid w:val="0046354F"/>
    <w:rsid w:val="0046725F"/>
    <w:rsid w:val="00470711"/>
    <w:rsid w:val="004708B2"/>
    <w:rsid w:val="00473C98"/>
    <w:rsid w:val="00476EF6"/>
    <w:rsid w:val="00477F99"/>
    <w:rsid w:val="0048465E"/>
    <w:rsid w:val="00495D73"/>
    <w:rsid w:val="004B4925"/>
    <w:rsid w:val="004D3920"/>
    <w:rsid w:val="004D7CE2"/>
    <w:rsid w:val="004F35E1"/>
    <w:rsid w:val="005007F5"/>
    <w:rsid w:val="00501E7F"/>
    <w:rsid w:val="00503D6C"/>
    <w:rsid w:val="00504C78"/>
    <w:rsid w:val="00510132"/>
    <w:rsid w:val="005105F1"/>
    <w:rsid w:val="00523171"/>
    <w:rsid w:val="00525EA4"/>
    <w:rsid w:val="00533315"/>
    <w:rsid w:val="00535A5E"/>
    <w:rsid w:val="00547C10"/>
    <w:rsid w:val="005528B9"/>
    <w:rsid w:val="00594898"/>
    <w:rsid w:val="00596F40"/>
    <w:rsid w:val="00596FD4"/>
    <w:rsid w:val="005A12B9"/>
    <w:rsid w:val="005A453E"/>
    <w:rsid w:val="005C7187"/>
    <w:rsid w:val="005D24B6"/>
    <w:rsid w:val="005E3105"/>
    <w:rsid w:val="005E3D18"/>
    <w:rsid w:val="005E630B"/>
    <w:rsid w:val="005F3847"/>
    <w:rsid w:val="005F7064"/>
    <w:rsid w:val="00612BDB"/>
    <w:rsid w:val="00615DC5"/>
    <w:rsid w:val="0061607F"/>
    <w:rsid w:val="00643C48"/>
    <w:rsid w:val="0064586A"/>
    <w:rsid w:val="00645F9D"/>
    <w:rsid w:val="006471CF"/>
    <w:rsid w:val="00653BA9"/>
    <w:rsid w:val="00662AE5"/>
    <w:rsid w:val="00677F02"/>
    <w:rsid w:val="006937FF"/>
    <w:rsid w:val="00694168"/>
    <w:rsid w:val="0069701E"/>
    <w:rsid w:val="006970F5"/>
    <w:rsid w:val="00697746"/>
    <w:rsid w:val="006A2704"/>
    <w:rsid w:val="006A69A1"/>
    <w:rsid w:val="006A6D14"/>
    <w:rsid w:val="006A73C2"/>
    <w:rsid w:val="006B32CF"/>
    <w:rsid w:val="006C0B23"/>
    <w:rsid w:val="006C4AC5"/>
    <w:rsid w:val="006D565F"/>
    <w:rsid w:val="006F1C18"/>
    <w:rsid w:val="006F2FF7"/>
    <w:rsid w:val="006F37EE"/>
    <w:rsid w:val="006F690A"/>
    <w:rsid w:val="006F6D0C"/>
    <w:rsid w:val="007071B7"/>
    <w:rsid w:val="00711E30"/>
    <w:rsid w:val="00717172"/>
    <w:rsid w:val="00717260"/>
    <w:rsid w:val="0072070F"/>
    <w:rsid w:val="00720FF6"/>
    <w:rsid w:val="00722DF2"/>
    <w:rsid w:val="00732A96"/>
    <w:rsid w:val="0073416F"/>
    <w:rsid w:val="007410F2"/>
    <w:rsid w:val="00743685"/>
    <w:rsid w:val="0075735E"/>
    <w:rsid w:val="00764A29"/>
    <w:rsid w:val="00765322"/>
    <w:rsid w:val="00770BC4"/>
    <w:rsid w:val="00771124"/>
    <w:rsid w:val="0077149E"/>
    <w:rsid w:val="007737A0"/>
    <w:rsid w:val="00774F7D"/>
    <w:rsid w:val="00776879"/>
    <w:rsid w:val="0079698F"/>
    <w:rsid w:val="007A38BC"/>
    <w:rsid w:val="007A40FD"/>
    <w:rsid w:val="007A4474"/>
    <w:rsid w:val="007A7EF6"/>
    <w:rsid w:val="007C04E1"/>
    <w:rsid w:val="007C6CFD"/>
    <w:rsid w:val="007E0209"/>
    <w:rsid w:val="007F068C"/>
    <w:rsid w:val="007F70A7"/>
    <w:rsid w:val="007F7B46"/>
    <w:rsid w:val="008157B0"/>
    <w:rsid w:val="00822DDF"/>
    <w:rsid w:val="00840F66"/>
    <w:rsid w:val="00846393"/>
    <w:rsid w:val="008508BF"/>
    <w:rsid w:val="008525D0"/>
    <w:rsid w:val="00857925"/>
    <w:rsid w:val="008604E7"/>
    <w:rsid w:val="008654FB"/>
    <w:rsid w:val="00866E86"/>
    <w:rsid w:val="0088010F"/>
    <w:rsid w:val="0088351A"/>
    <w:rsid w:val="00885353"/>
    <w:rsid w:val="008A31A3"/>
    <w:rsid w:val="008A539E"/>
    <w:rsid w:val="008A5E8B"/>
    <w:rsid w:val="008A7403"/>
    <w:rsid w:val="008B3981"/>
    <w:rsid w:val="008D21BE"/>
    <w:rsid w:val="008E58A2"/>
    <w:rsid w:val="008E7ACF"/>
    <w:rsid w:val="008F05D1"/>
    <w:rsid w:val="008F2B76"/>
    <w:rsid w:val="008F2F4E"/>
    <w:rsid w:val="008F36FF"/>
    <w:rsid w:val="00900BA7"/>
    <w:rsid w:val="00902411"/>
    <w:rsid w:val="00906A5E"/>
    <w:rsid w:val="00906CEA"/>
    <w:rsid w:val="00912C8A"/>
    <w:rsid w:val="009206C8"/>
    <w:rsid w:val="0093461E"/>
    <w:rsid w:val="0093582F"/>
    <w:rsid w:val="00940791"/>
    <w:rsid w:val="00955AF7"/>
    <w:rsid w:val="00971116"/>
    <w:rsid w:val="00974345"/>
    <w:rsid w:val="009749C0"/>
    <w:rsid w:val="00994051"/>
    <w:rsid w:val="0099503A"/>
    <w:rsid w:val="009A0E9E"/>
    <w:rsid w:val="009B377E"/>
    <w:rsid w:val="009B386F"/>
    <w:rsid w:val="009B525F"/>
    <w:rsid w:val="009B76C2"/>
    <w:rsid w:val="009C5471"/>
    <w:rsid w:val="009D0C00"/>
    <w:rsid w:val="009D36F1"/>
    <w:rsid w:val="009D3DAA"/>
    <w:rsid w:val="009D7095"/>
    <w:rsid w:val="009E4567"/>
    <w:rsid w:val="009F2755"/>
    <w:rsid w:val="00A01CF7"/>
    <w:rsid w:val="00A11651"/>
    <w:rsid w:val="00A12787"/>
    <w:rsid w:val="00A27183"/>
    <w:rsid w:val="00A37182"/>
    <w:rsid w:val="00A37D6B"/>
    <w:rsid w:val="00A4272F"/>
    <w:rsid w:val="00A52A4E"/>
    <w:rsid w:val="00A531AA"/>
    <w:rsid w:val="00A5412C"/>
    <w:rsid w:val="00A7466F"/>
    <w:rsid w:val="00A749F9"/>
    <w:rsid w:val="00A766A3"/>
    <w:rsid w:val="00A8034D"/>
    <w:rsid w:val="00A83B78"/>
    <w:rsid w:val="00A90017"/>
    <w:rsid w:val="00A910D0"/>
    <w:rsid w:val="00A93466"/>
    <w:rsid w:val="00AA5C05"/>
    <w:rsid w:val="00AA7910"/>
    <w:rsid w:val="00AB1604"/>
    <w:rsid w:val="00AB7135"/>
    <w:rsid w:val="00AD210D"/>
    <w:rsid w:val="00AD2CEB"/>
    <w:rsid w:val="00AD5C3A"/>
    <w:rsid w:val="00AE22B1"/>
    <w:rsid w:val="00AE5FB5"/>
    <w:rsid w:val="00AF10C2"/>
    <w:rsid w:val="00B00B31"/>
    <w:rsid w:val="00B00C2C"/>
    <w:rsid w:val="00B03701"/>
    <w:rsid w:val="00B03E04"/>
    <w:rsid w:val="00B0401B"/>
    <w:rsid w:val="00B04355"/>
    <w:rsid w:val="00B31936"/>
    <w:rsid w:val="00B42B42"/>
    <w:rsid w:val="00B435A5"/>
    <w:rsid w:val="00B50FE3"/>
    <w:rsid w:val="00B624CA"/>
    <w:rsid w:val="00B62C19"/>
    <w:rsid w:val="00B62C34"/>
    <w:rsid w:val="00B66AF7"/>
    <w:rsid w:val="00B67E01"/>
    <w:rsid w:val="00B70E9F"/>
    <w:rsid w:val="00B71FE8"/>
    <w:rsid w:val="00B7334E"/>
    <w:rsid w:val="00B740F2"/>
    <w:rsid w:val="00B8176A"/>
    <w:rsid w:val="00B91F6F"/>
    <w:rsid w:val="00B94503"/>
    <w:rsid w:val="00B948BA"/>
    <w:rsid w:val="00BA40EA"/>
    <w:rsid w:val="00BB32D2"/>
    <w:rsid w:val="00BC0BF8"/>
    <w:rsid w:val="00BC4D14"/>
    <w:rsid w:val="00BC6510"/>
    <w:rsid w:val="00BD3EDC"/>
    <w:rsid w:val="00BD79BF"/>
    <w:rsid w:val="00BE5CDD"/>
    <w:rsid w:val="00BF11E6"/>
    <w:rsid w:val="00BF1A73"/>
    <w:rsid w:val="00C12DC3"/>
    <w:rsid w:val="00C14DF8"/>
    <w:rsid w:val="00C16B5A"/>
    <w:rsid w:val="00C172A2"/>
    <w:rsid w:val="00C30C1D"/>
    <w:rsid w:val="00C36F3C"/>
    <w:rsid w:val="00C4369F"/>
    <w:rsid w:val="00C44F0C"/>
    <w:rsid w:val="00C506A5"/>
    <w:rsid w:val="00C52E6E"/>
    <w:rsid w:val="00C633A0"/>
    <w:rsid w:val="00C72CA1"/>
    <w:rsid w:val="00C763BF"/>
    <w:rsid w:val="00C8239F"/>
    <w:rsid w:val="00C833CD"/>
    <w:rsid w:val="00C84C52"/>
    <w:rsid w:val="00C85810"/>
    <w:rsid w:val="00C90469"/>
    <w:rsid w:val="00C94A81"/>
    <w:rsid w:val="00C95587"/>
    <w:rsid w:val="00CA016D"/>
    <w:rsid w:val="00CA3E74"/>
    <w:rsid w:val="00CB6514"/>
    <w:rsid w:val="00CC32F2"/>
    <w:rsid w:val="00CC3F7A"/>
    <w:rsid w:val="00CC7D11"/>
    <w:rsid w:val="00CD0638"/>
    <w:rsid w:val="00CD4320"/>
    <w:rsid w:val="00CD501B"/>
    <w:rsid w:val="00CD703D"/>
    <w:rsid w:val="00CD7290"/>
    <w:rsid w:val="00CF2195"/>
    <w:rsid w:val="00CF4F2D"/>
    <w:rsid w:val="00D01C58"/>
    <w:rsid w:val="00D0751A"/>
    <w:rsid w:val="00D077D9"/>
    <w:rsid w:val="00D16FD0"/>
    <w:rsid w:val="00D2296D"/>
    <w:rsid w:val="00D22D5B"/>
    <w:rsid w:val="00D27E4F"/>
    <w:rsid w:val="00D349F5"/>
    <w:rsid w:val="00D3621B"/>
    <w:rsid w:val="00D37872"/>
    <w:rsid w:val="00D518F2"/>
    <w:rsid w:val="00D54D0D"/>
    <w:rsid w:val="00D66B8A"/>
    <w:rsid w:val="00D75859"/>
    <w:rsid w:val="00DB6603"/>
    <w:rsid w:val="00DC0EDA"/>
    <w:rsid w:val="00DC26CC"/>
    <w:rsid w:val="00DE7D05"/>
    <w:rsid w:val="00E00FDF"/>
    <w:rsid w:val="00E01990"/>
    <w:rsid w:val="00E1248E"/>
    <w:rsid w:val="00E16051"/>
    <w:rsid w:val="00E16489"/>
    <w:rsid w:val="00E23639"/>
    <w:rsid w:val="00E3443B"/>
    <w:rsid w:val="00E348EF"/>
    <w:rsid w:val="00E516F7"/>
    <w:rsid w:val="00E53FDC"/>
    <w:rsid w:val="00E603E8"/>
    <w:rsid w:val="00E80C35"/>
    <w:rsid w:val="00E87FA2"/>
    <w:rsid w:val="00E917F8"/>
    <w:rsid w:val="00E9188C"/>
    <w:rsid w:val="00E93AE2"/>
    <w:rsid w:val="00E95098"/>
    <w:rsid w:val="00EC4570"/>
    <w:rsid w:val="00EC4C9F"/>
    <w:rsid w:val="00ED2683"/>
    <w:rsid w:val="00ED5789"/>
    <w:rsid w:val="00EE291D"/>
    <w:rsid w:val="00EE35AF"/>
    <w:rsid w:val="00EF358B"/>
    <w:rsid w:val="00EF7CCF"/>
    <w:rsid w:val="00F063EE"/>
    <w:rsid w:val="00F066A3"/>
    <w:rsid w:val="00F217A9"/>
    <w:rsid w:val="00F25B2F"/>
    <w:rsid w:val="00F25BBE"/>
    <w:rsid w:val="00F26E45"/>
    <w:rsid w:val="00F309C1"/>
    <w:rsid w:val="00F332AF"/>
    <w:rsid w:val="00F3709D"/>
    <w:rsid w:val="00F459F6"/>
    <w:rsid w:val="00F529D0"/>
    <w:rsid w:val="00F5336E"/>
    <w:rsid w:val="00F6224A"/>
    <w:rsid w:val="00F62C30"/>
    <w:rsid w:val="00F73098"/>
    <w:rsid w:val="00F757E6"/>
    <w:rsid w:val="00F7742E"/>
    <w:rsid w:val="00F81A58"/>
    <w:rsid w:val="00F93010"/>
    <w:rsid w:val="00FA523F"/>
    <w:rsid w:val="00FB00D0"/>
    <w:rsid w:val="00FB6E9C"/>
    <w:rsid w:val="00FC4678"/>
    <w:rsid w:val="00FD1715"/>
    <w:rsid w:val="00FD3508"/>
    <w:rsid w:val="00FD430F"/>
    <w:rsid w:val="00FD78B2"/>
    <w:rsid w:val="00FE00EB"/>
    <w:rsid w:val="00FE0DF7"/>
    <w:rsid w:val="00FE744B"/>
    <w:rsid w:val="00FF22EC"/>
    <w:rsid w:val="00FF3DFB"/>
    <w:rsid w:val="00FF6C8E"/>
    <w:rsid w:val="00FF7BCF"/>
  </w:rsids>
  <m:mathPr>
    <m:mathFont m:val="Cambria Math"/>
    <m:brkBin m:val="before"/>
    <m:brkBinSub m:val="--"/>
    <m:smallFrac m:val="0"/>
    <m:dispDef/>
    <m:lMargin m:val="0"/>
    <m:rMargin m:val="0"/>
    <m:defJc m:val="centerGroup"/>
    <m:wrapIndent m:val="1440"/>
    <m:intLim m:val="subSup"/>
    <m:naryLim m:val="undOvr"/>
  </m:mathPr>
  <w:themeFontLang w:val="en-GB" w:eastAsia="zh-TW"/>
  <w:clrSchemeMapping w:bg1="light1" w:t1="dark1" w:bg2="light2" w:t2="dark2" w:accent1="accent1" w:accent2="accent2" w:accent3="accent3" w:accent4="accent4" w:accent5="accent5" w:accent6="accent6" w:hyperlink="hyperlink" w:followedHyperlink="followedHyperlink"/>
  <w:decimalSymbol w:val="."/>
  <w:listSeparator w:val=","/>
  <w14:docId w14:val="7EDDFB04"/>
  <w14:defaultImageDpi w14:val="32767"/>
  <w15:chartTrackingRefBased/>
  <w15:docId w15:val="{FDAC4ACE-19F2-1A49-8A5E-3743242343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GB"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45543A"/>
    <w:pPr>
      <w:spacing w:line="480" w:lineRule="auto"/>
    </w:pPr>
    <w:rPr>
      <w:rFonts w:ascii="Baskerville" w:hAnsi="Baskerville"/>
      <w:lang w:val="en-AU"/>
    </w:rPr>
  </w:style>
  <w:style w:type="paragraph" w:styleId="Heading1">
    <w:name w:val="heading 1"/>
    <w:basedOn w:val="Normal"/>
    <w:next w:val="Normal"/>
    <w:link w:val="Heading1Char"/>
    <w:uiPriority w:val="9"/>
    <w:qFormat/>
    <w:rsid w:val="00397641"/>
    <w:pPr>
      <w:keepNext/>
      <w:keepLines/>
      <w:spacing w:before="240" w:after="240" w:line="240" w:lineRule="auto"/>
      <w:outlineLvl w:val="0"/>
    </w:pPr>
    <w:rPr>
      <w:rFonts w:eastAsiaTheme="majorEastAsia" w:cstheme="majorBidi"/>
      <w:szCs w:val="3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576AB"/>
    <w:pPr>
      <w:ind w:left="720"/>
      <w:contextualSpacing/>
    </w:pPr>
  </w:style>
  <w:style w:type="paragraph" w:styleId="FootnoteText">
    <w:name w:val="footnote text"/>
    <w:aliases w:val="Char Char, Char Char"/>
    <w:basedOn w:val="Normal"/>
    <w:link w:val="FootnoteTextChar"/>
    <w:uiPriority w:val="99"/>
    <w:unhideWhenUsed/>
    <w:rsid w:val="009B377E"/>
    <w:pPr>
      <w:spacing w:before="120" w:after="120" w:line="240" w:lineRule="auto"/>
    </w:pPr>
    <w:rPr>
      <w:sz w:val="20"/>
      <w:szCs w:val="20"/>
    </w:rPr>
  </w:style>
  <w:style w:type="character" w:customStyle="1" w:styleId="FootnoteTextChar">
    <w:name w:val="Footnote Text Char"/>
    <w:aliases w:val="Char Char Char, Char Char Char"/>
    <w:basedOn w:val="DefaultParagraphFont"/>
    <w:link w:val="FootnoteText"/>
    <w:uiPriority w:val="99"/>
    <w:rsid w:val="009B377E"/>
    <w:rPr>
      <w:rFonts w:ascii="Baskerville" w:hAnsi="Baskerville"/>
      <w:sz w:val="20"/>
      <w:szCs w:val="20"/>
      <w:lang w:val="en-AU"/>
    </w:rPr>
  </w:style>
  <w:style w:type="character" w:styleId="FootnoteReference">
    <w:name w:val="footnote reference"/>
    <w:basedOn w:val="DefaultParagraphFont"/>
    <w:uiPriority w:val="99"/>
    <w:unhideWhenUsed/>
    <w:rsid w:val="00D27E4F"/>
    <w:rPr>
      <w:vertAlign w:val="superscript"/>
    </w:rPr>
  </w:style>
  <w:style w:type="paragraph" w:styleId="Quote">
    <w:name w:val="Quote"/>
    <w:basedOn w:val="Normal"/>
    <w:next w:val="Normal"/>
    <w:link w:val="QuoteChar"/>
    <w:uiPriority w:val="29"/>
    <w:qFormat/>
    <w:rsid w:val="0045543A"/>
    <w:pPr>
      <w:spacing w:before="320" w:after="280" w:line="240" w:lineRule="auto"/>
      <w:ind w:left="864" w:right="864"/>
    </w:pPr>
    <w:rPr>
      <w:iCs/>
    </w:rPr>
  </w:style>
  <w:style w:type="character" w:customStyle="1" w:styleId="QuoteChar">
    <w:name w:val="Quote Char"/>
    <w:basedOn w:val="DefaultParagraphFont"/>
    <w:link w:val="Quote"/>
    <w:uiPriority w:val="29"/>
    <w:rsid w:val="0045543A"/>
    <w:rPr>
      <w:rFonts w:ascii="Baskerville" w:hAnsi="Baskerville"/>
      <w:iCs/>
      <w:lang w:val="en-AU"/>
    </w:rPr>
  </w:style>
  <w:style w:type="paragraph" w:styleId="Bibliography">
    <w:name w:val="Bibliography"/>
    <w:basedOn w:val="Normal"/>
    <w:next w:val="Normal"/>
    <w:uiPriority w:val="37"/>
    <w:unhideWhenUsed/>
    <w:rsid w:val="00C72CA1"/>
    <w:pPr>
      <w:spacing w:line="240" w:lineRule="auto"/>
      <w:ind w:left="720" w:hanging="720"/>
    </w:pPr>
  </w:style>
  <w:style w:type="character" w:customStyle="1" w:styleId="Heading1Char">
    <w:name w:val="Heading 1 Char"/>
    <w:basedOn w:val="DefaultParagraphFont"/>
    <w:link w:val="Heading1"/>
    <w:uiPriority w:val="9"/>
    <w:rsid w:val="00397641"/>
    <w:rPr>
      <w:rFonts w:ascii="Baskerville" w:eastAsiaTheme="majorEastAsia" w:hAnsi="Baskerville" w:cstheme="majorBidi"/>
      <w:szCs w:val="32"/>
      <w:u w:val="single"/>
      <w:lang w:val="en-AU"/>
    </w:rPr>
  </w:style>
  <w:style w:type="paragraph" w:styleId="Title">
    <w:name w:val="Title"/>
    <w:basedOn w:val="Normal"/>
    <w:next w:val="Normal"/>
    <w:link w:val="TitleChar"/>
    <w:uiPriority w:val="10"/>
    <w:qFormat/>
    <w:rsid w:val="00397641"/>
    <w:pPr>
      <w:spacing w:line="240" w:lineRule="auto"/>
      <w:contextualSpacing/>
      <w:jc w:val="center"/>
    </w:pPr>
    <w:rPr>
      <w:rFonts w:eastAsiaTheme="majorEastAsia" w:cstheme="majorBidi"/>
      <w:spacing w:val="-10"/>
      <w:kern w:val="28"/>
      <w:sz w:val="28"/>
      <w:szCs w:val="56"/>
      <w:u w:val="single"/>
    </w:rPr>
  </w:style>
  <w:style w:type="character" w:customStyle="1" w:styleId="TitleChar">
    <w:name w:val="Title Char"/>
    <w:basedOn w:val="DefaultParagraphFont"/>
    <w:link w:val="Title"/>
    <w:uiPriority w:val="10"/>
    <w:rsid w:val="00397641"/>
    <w:rPr>
      <w:rFonts w:ascii="Baskerville" w:eastAsiaTheme="majorEastAsia" w:hAnsi="Baskerville" w:cstheme="majorBidi"/>
      <w:spacing w:val="-10"/>
      <w:kern w:val="28"/>
      <w:sz w:val="28"/>
      <w:szCs w:val="56"/>
      <w:u w:val="single"/>
      <w:lang w:val="en-AU"/>
    </w:rPr>
  </w:style>
  <w:style w:type="paragraph" w:styleId="Footer">
    <w:name w:val="footer"/>
    <w:basedOn w:val="Normal"/>
    <w:link w:val="FooterChar"/>
    <w:uiPriority w:val="99"/>
    <w:unhideWhenUsed/>
    <w:rsid w:val="00E23639"/>
    <w:pPr>
      <w:tabs>
        <w:tab w:val="center" w:pos="4513"/>
        <w:tab w:val="right" w:pos="9026"/>
      </w:tabs>
      <w:spacing w:line="240" w:lineRule="auto"/>
    </w:pPr>
  </w:style>
  <w:style w:type="character" w:customStyle="1" w:styleId="FooterChar">
    <w:name w:val="Footer Char"/>
    <w:basedOn w:val="DefaultParagraphFont"/>
    <w:link w:val="Footer"/>
    <w:uiPriority w:val="99"/>
    <w:rsid w:val="00E23639"/>
    <w:rPr>
      <w:rFonts w:ascii="Baskerville" w:hAnsi="Baskerville"/>
      <w:lang w:val="en-AU"/>
    </w:rPr>
  </w:style>
  <w:style w:type="character" w:styleId="PageNumber">
    <w:name w:val="page number"/>
    <w:basedOn w:val="DefaultParagraphFont"/>
    <w:uiPriority w:val="99"/>
    <w:semiHidden/>
    <w:unhideWhenUsed/>
    <w:rsid w:val="00E2363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5832185">
      <w:bodyDiv w:val="1"/>
      <w:marLeft w:val="0"/>
      <w:marRight w:val="0"/>
      <w:marTop w:val="0"/>
      <w:marBottom w:val="0"/>
      <w:divBdr>
        <w:top w:val="none" w:sz="0" w:space="0" w:color="auto"/>
        <w:left w:val="none" w:sz="0" w:space="0" w:color="auto"/>
        <w:bottom w:val="none" w:sz="0" w:space="0" w:color="auto"/>
        <w:right w:val="none" w:sz="0" w:space="0" w:color="auto"/>
      </w:divBdr>
    </w:div>
    <w:div w:id="801726967">
      <w:bodyDiv w:val="1"/>
      <w:marLeft w:val="0"/>
      <w:marRight w:val="0"/>
      <w:marTop w:val="0"/>
      <w:marBottom w:val="0"/>
      <w:divBdr>
        <w:top w:val="none" w:sz="0" w:space="0" w:color="auto"/>
        <w:left w:val="none" w:sz="0" w:space="0" w:color="auto"/>
        <w:bottom w:val="none" w:sz="0" w:space="0" w:color="auto"/>
        <w:right w:val="none" w:sz="0" w:space="0" w:color="auto"/>
      </w:divBdr>
    </w:div>
    <w:div w:id="1109542475">
      <w:bodyDiv w:val="1"/>
      <w:marLeft w:val="0"/>
      <w:marRight w:val="0"/>
      <w:marTop w:val="0"/>
      <w:marBottom w:val="0"/>
      <w:divBdr>
        <w:top w:val="none" w:sz="0" w:space="0" w:color="auto"/>
        <w:left w:val="none" w:sz="0" w:space="0" w:color="auto"/>
        <w:bottom w:val="none" w:sz="0" w:space="0" w:color="auto"/>
        <w:right w:val="none" w:sz="0" w:space="0" w:color="auto"/>
      </w:divBdr>
    </w:div>
    <w:div w:id="1151674608">
      <w:bodyDiv w:val="1"/>
      <w:marLeft w:val="0"/>
      <w:marRight w:val="0"/>
      <w:marTop w:val="0"/>
      <w:marBottom w:val="0"/>
      <w:divBdr>
        <w:top w:val="none" w:sz="0" w:space="0" w:color="auto"/>
        <w:left w:val="none" w:sz="0" w:space="0" w:color="auto"/>
        <w:bottom w:val="none" w:sz="0" w:space="0" w:color="auto"/>
        <w:right w:val="none" w:sz="0" w:space="0" w:color="auto"/>
      </w:divBdr>
    </w:div>
    <w:div w:id="1221865700">
      <w:bodyDiv w:val="1"/>
      <w:marLeft w:val="0"/>
      <w:marRight w:val="0"/>
      <w:marTop w:val="0"/>
      <w:marBottom w:val="0"/>
      <w:divBdr>
        <w:top w:val="none" w:sz="0" w:space="0" w:color="auto"/>
        <w:left w:val="none" w:sz="0" w:space="0" w:color="auto"/>
        <w:bottom w:val="none" w:sz="0" w:space="0" w:color="auto"/>
        <w:right w:val="none" w:sz="0" w:space="0" w:color="auto"/>
      </w:divBdr>
    </w:div>
    <w:div w:id="1433555102">
      <w:bodyDiv w:val="1"/>
      <w:marLeft w:val="0"/>
      <w:marRight w:val="0"/>
      <w:marTop w:val="0"/>
      <w:marBottom w:val="0"/>
      <w:divBdr>
        <w:top w:val="none" w:sz="0" w:space="0" w:color="auto"/>
        <w:left w:val="none" w:sz="0" w:space="0" w:color="auto"/>
        <w:bottom w:val="none" w:sz="0" w:space="0" w:color="auto"/>
        <w:right w:val="none" w:sz="0" w:space="0" w:color="auto"/>
      </w:divBdr>
    </w:div>
    <w:div w:id="1819180104">
      <w:bodyDiv w:val="1"/>
      <w:marLeft w:val="0"/>
      <w:marRight w:val="0"/>
      <w:marTop w:val="0"/>
      <w:marBottom w:val="0"/>
      <w:divBdr>
        <w:top w:val="none" w:sz="0" w:space="0" w:color="auto"/>
        <w:left w:val="none" w:sz="0" w:space="0" w:color="auto"/>
        <w:bottom w:val="none" w:sz="0" w:space="0" w:color="auto"/>
        <w:right w:val="none" w:sz="0" w:space="0" w:color="auto"/>
      </w:divBdr>
    </w:div>
    <w:div w:id="1946375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25</Pages>
  <Words>7112</Words>
  <Characters>40544</Characters>
  <Application>Microsoft Office Word</Application>
  <DocSecurity>0</DocSecurity>
  <Lines>337</Lines>
  <Paragraphs>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Alexander Douglas</dc:creator>
  <cp:keywords/>
  <dc:description/>
  <cp:lastModifiedBy>Alexander Douglas</cp:lastModifiedBy>
  <cp:revision>2</cp:revision>
  <dcterms:created xsi:type="dcterms:W3CDTF">2022-11-25T13:39:00Z</dcterms:created>
  <dcterms:modified xsi:type="dcterms:W3CDTF">2022-11-25T13:39:00Z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zotero-version="6.0.18"&gt;&lt;session id="oGyLjkKl"/&gt;&lt;style id="http://www.zotero.org/styles/chicago-fullnote-bibliography" locale="en-US" hasBibliography="1" bibliographyStyleHasBeenSet="1"/&gt;&lt;prefs&gt;&lt;pref name="fieldType" value="Field"/&gt;</vt:lpwstr>
  </property>
  <property fmtid="{D5CDD505-2E9C-101B-9397-08002B2CF9AE}" pid="3" name="ZOTERO_PREF_2">
    <vt:lpwstr>&lt;pref name="noteType" value="1"/&gt;&lt;pref name="dontAskDelayCitationUpdates" value="true"/&gt;&lt;/prefs&gt;&lt;/data&gt;</vt:lpwstr>
  </property>
</Properties>
</file>